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FD45" w14:textId="4439624C" w:rsidR="009E6525" w:rsidRDefault="006D678F" w:rsidP="00F65279">
      <w:pPr>
        <w:tabs>
          <w:tab w:val="right" w:pos="9030"/>
        </w:tabs>
        <w:spacing w:after="0" w:line="259" w:lineRule="auto"/>
        <w:ind w:left="0" w:right="0" w:firstLine="0"/>
      </w:pPr>
      <w:r>
        <w:rPr>
          <w:rFonts w:ascii="Arial" w:eastAsia="Arial" w:hAnsi="Arial" w:cs="Arial"/>
          <w:b/>
        </w:rPr>
        <w:t xml:space="preserve">    </w:t>
      </w:r>
      <w:r>
        <w:rPr>
          <w:rFonts w:ascii="Arial" w:eastAsia="Arial" w:hAnsi="Arial" w:cs="Arial"/>
          <w:b/>
        </w:rPr>
        <w:tab/>
      </w:r>
      <w:r>
        <w:t xml:space="preserve"> </w:t>
      </w:r>
    </w:p>
    <w:p w14:paraId="317DC23C" w14:textId="58791320" w:rsidR="00EC4A3F" w:rsidRPr="00EC4A3F" w:rsidRDefault="00EC4A3F" w:rsidP="00567441">
      <w:pPr>
        <w:spacing w:after="160" w:line="259" w:lineRule="auto"/>
        <w:ind w:left="0" w:right="0" w:firstLine="0"/>
        <w:jc w:val="right"/>
        <w:rPr>
          <w:rFonts w:asciiTheme="minorHAnsi" w:eastAsiaTheme="minorHAnsi" w:hAnsiTheme="minorHAnsi" w:cstheme="minorBidi"/>
          <w:color w:val="auto"/>
          <w:lang w:eastAsia="en-US"/>
        </w:rPr>
      </w:pPr>
      <w:r w:rsidRPr="00EC4A3F">
        <w:rPr>
          <w:rFonts w:asciiTheme="minorHAnsi" w:eastAsiaTheme="minorHAnsi" w:hAnsiTheme="minorHAnsi" w:cstheme="minorBidi"/>
          <w:noProof/>
          <w:color w:val="auto"/>
          <w:lang w:eastAsia="en-US"/>
        </w:rPr>
        <w:drawing>
          <wp:inline distT="0" distB="0" distL="0" distR="0" wp14:anchorId="467F47F7" wp14:editId="1BF8A37A">
            <wp:extent cx="1962150" cy="619125"/>
            <wp:effectExtent l="0" t="0" r="0" b="9525"/>
            <wp:docPr id="1947094284" name="Picture 1" descr="HOW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62150" cy="6191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CCFF"/>
        <w:tblLook w:val="04A0" w:firstRow="1" w:lastRow="0" w:firstColumn="1" w:lastColumn="0" w:noHBand="0" w:noVBand="1"/>
      </w:tblPr>
      <w:tblGrid>
        <w:gridCol w:w="9020"/>
      </w:tblGrid>
      <w:tr w:rsidR="00EC4A3F" w:rsidRPr="00EC4A3F" w14:paraId="1E8BD334" w14:textId="77777777" w:rsidTr="00EC5800">
        <w:trPr>
          <w:trHeight w:val="766"/>
        </w:trPr>
        <w:tc>
          <w:tcPr>
            <w:tcW w:w="9242" w:type="dxa"/>
            <w:shd w:val="clear" w:color="auto" w:fill="66CCFF"/>
            <w:vAlign w:val="center"/>
          </w:tcPr>
          <w:p w14:paraId="40913ADC" w14:textId="2EE78B38" w:rsidR="00EC4A3F" w:rsidRPr="00EC4A3F" w:rsidRDefault="00EC4A3F" w:rsidP="00EC4A3F">
            <w:pPr>
              <w:spacing w:after="0" w:line="240" w:lineRule="auto"/>
              <w:ind w:left="0" w:right="0" w:firstLine="0"/>
              <w:jc w:val="center"/>
              <w:rPr>
                <w:rFonts w:ascii="Arial Black" w:eastAsia="Times New Roman" w:hAnsi="Arial Black" w:cs="Arial"/>
                <w:b/>
                <w:bCs/>
                <w:sz w:val="28"/>
                <w:szCs w:val="28"/>
                <w:lang w:eastAsia="en-US"/>
              </w:rPr>
            </w:pPr>
            <w:r>
              <w:rPr>
                <w:rFonts w:ascii="Arial" w:eastAsia="Arial" w:hAnsi="Arial" w:cs="Arial"/>
                <w:b/>
                <w:bCs/>
                <w:color w:val="000000" w:themeColor="text1"/>
                <w:sz w:val="28"/>
                <w:szCs w:val="28"/>
                <w:lang w:eastAsia="en-US"/>
              </w:rPr>
              <w:t>HE &amp; PROFESSIONAL ADMISSIONS POLICY</w:t>
            </w:r>
          </w:p>
        </w:tc>
      </w:tr>
    </w:tbl>
    <w:p w14:paraId="75323E17" w14:textId="77777777" w:rsidR="00EC4A3F" w:rsidRPr="00EC4A3F" w:rsidRDefault="00EC4A3F" w:rsidP="00EC4A3F">
      <w:pPr>
        <w:spacing w:after="160" w:line="259" w:lineRule="auto"/>
        <w:ind w:left="0" w:right="0" w:firstLine="0"/>
        <w:rPr>
          <w:rFonts w:asciiTheme="minorHAnsi" w:eastAsiaTheme="minorHAnsi" w:hAnsiTheme="minorHAnsi" w:cstheme="minorBidi"/>
          <w:color w:val="auto"/>
          <w:lang w:eastAsia="en-US"/>
        </w:rPr>
      </w:pPr>
    </w:p>
    <w:p w14:paraId="2384EE25" w14:textId="77777777" w:rsidR="00EC4A3F" w:rsidRPr="00EC4A3F" w:rsidRDefault="00EC4A3F" w:rsidP="00EC4A3F">
      <w:pPr>
        <w:spacing w:after="160" w:line="259" w:lineRule="auto"/>
        <w:ind w:left="0" w:right="0" w:firstLine="0"/>
        <w:jc w:val="center"/>
        <w:rPr>
          <w:rFonts w:ascii="Arial" w:eastAsia="Arial" w:hAnsi="Arial" w:cs="Arial"/>
          <w:b/>
          <w:bCs/>
          <w:color w:val="auto"/>
          <w:lang w:eastAsia="en-US"/>
        </w:rPr>
      </w:pPr>
      <w:r w:rsidRPr="00EC4A3F">
        <w:rPr>
          <w:rFonts w:ascii="Arial" w:eastAsia="Arial" w:hAnsi="Arial" w:cs="Arial"/>
          <w:b/>
          <w:bCs/>
          <w:color w:val="auto"/>
          <w:lang w:eastAsia="en-US"/>
        </w:rPr>
        <w:t>For completion by The Executive</w:t>
      </w:r>
    </w:p>
    <w:tbl>
      <w:tblPr>
        <w:tblStyle w:val="TableGrid"/>
        <w:tblW w:w="0" w:type="auto"/>
        <w:tblLook w:val="04A0" w:firstRow="1" w:lastRow="0" w:firstColumn="1" w:lastColumn="0" w:noHBand="0" w:noVBand="1"/>
      </w:tblPr>
      <w:tblGrid>
        <w:gridCol w:w="1977"/>
        <w:gridCol w:w="1035"/>
        <w:gridCol w:w="669"/>
        <w:gridCol w:w="850"/>
        <w:gridCol w:w="709"/>
        <w:gridCol w:w="851"/>
        <w:gridCol w:w="708"/>
        <w:gridCol w:w="777"/>
        <w:gridCol w:w="1134"/>
      </w:tblGrid>
      <w:tr w:rsidR="00EC4A3F" w:rsidRPr="00EC4A3F" w14:paraId="1508D633" w14:textId="77777777" w:rsidTr="00EC5800">
        <w:tc>
          <w:tcPr>
            <w:tcW w:w="1977" w:type="dxa"/>
            <w:vMerge w:val="restart"/>
          </w:tcPr>
          <w:p w14:paraId="3DB0C999"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Strategic Theme (7Ps)</w:t>
            </w:r>
          </w:p>
        </w:tc>
        <w:tc>
          <w:tcPr>
            <w:tcW w:w="1035" w:type="dxa"/>
          </w:tcPr>
          <w:p w14:paraId="4232C959"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Purpose</w:t>
            </w:r>
          </w:p>
          <w:p w14:paraId="31634236"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669" w:type="dxa"/>
          </w:tcPr>
          <w:p w14:paraId="47EFD427"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850" w:type="dxa"/>
          </w:tcPr>
          <w:p w14:paraId="56AAC165"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Place</w:t>
            </w:r>
          </w:p>
        </w:tc>
        <w:tc>
          <w:tcPr>
            <w:tcW w:w="709" w:type="dxa"/>
          </w:tcPr>
          <w:p w14:paraId="6FCA28BD"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851" w:type="dxa"/>
          </w:tcPr>
          <w:p w14:paraId="3989CDD3"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People</w:t>
            </w:r>
          </w:p>
        </w:tc>
        <w:tc>
          <w:tcPr>
            <w:tcW w:w="708" w:type="dxa"/>
          </w:tcPr>
          <w:p w14:paraId="76A9F888"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777" w:type="dxa"/>
          </w:tcPr>
          <w:p w14:paraId="71B07449"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Prosper</w:t>
            </w:r>
          </w:p>
        </w:tc>
        <w:tc>
          <w:tcPr>
            <w:tcW w:w="1134" w:type="dxa"/>
          </w:tcPr>
          <w:p w14:paraId="196A1087" w14:textId="77777777" w:rsidR="00EC4A3F" w:rsidRPr="00EC4A3F" w:rsidRDefault="00EC4A3F" w:rsidP="00EC4A3F">
            <w:pPr>
              <w:spacing w:after="0" w:line="240" w:lineRule="auto"/>
              <w:ind w:left="0" w:right="0" w:firstLine="0"/>
              <w:rPr>
                <w:rFonts w:ascii="Arial" w:eastAsia="Arial" w:hAnsi="Arial" w:cs="Arial"/>
                <w:color w:val="auto"/>
              </w:rPr>
            </w:pPr>
          </w:p>
        </w:tc>
      </w:tr>
      <w:tr w:rsidR="00EC4A3F" w:rsidRPr="00EC4A3F" w14:paraId="2A3C9598" w14:textId="77777777" w:rsidTr="00EC5800">
        <w:tc>
          <w:tcPr>
            <w:tcW w:w="1977" w:type="dxa"/>
            <w:vMerge/>
          </w:tcPr>
          <w:p w14:paraId="0F0E1D20" w14:textId="77777777" w:rsidR="00EC4A3F" w:rsidRPr="00EC4A3F" w:rsidRDefault="00EC4A3F" w:rsidP="00EC4A3F">
            <w:pPr>
              <w:spacing w:after="0" w:line="240" w:lineRule="auto"/>
              <w:ind w:left="0" w:right="0" w:firstLine="0"/>
              <w:rPr>
                <w:rFonts w:ascii="Arial" w:eastAsia="Arial" w:hAnsi="Arial" w:cs="Arial"/>
                <w:color w:val="auto"/>
              </w:rPr>
            </w:pPr>
          </w:p>
        </w:tc>
        <w:tc>
          <w:tcPr>
            <w:tcW w:w="1035" w:type="dxa"/>
          </w:tcPr>
          <w:p w14:paraId="2B8009C0"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Partnership</w:t>
            </w:r>
          </w:p>
          <w:p w14:paraId="6A02DC45"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669" w:type="dxa"/>
          </w:tcPr>
          <w:p w14:paraId="0AC934E3"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850" w:type="dxa"/>
          </w:tcPr>
          <w:p w14:paraId="63FE9891"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Potential</w:t>
            </w:r>
          </w:p>
        </w:tc>
        <w:tc>
          <w:tcPr>
            <w:tcW w:w="709" w:type="dxa"/>
          </w:tcPr>
          <w:p w14:paraId="392FE40B"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851" w:type="dxa"/>
          </w:tcPr>
          <w:p w14:paraId="7D4C4D03" w14:textId="77777777" w:rsidR="00EC4A3F" w:rsidRPr="00EC4A3F" w:rsidRDefault="00EC4A3F" w:rsidP="00EC4A3F">
            <w:pPr>
              <w:spacing w:after="0" w:line="240" w:lineRule="auto"/>
              <w:ind w:left="0" w:right="0" w:firstLine="0"/>
              <w:rPr>
                <w:rFonts w:ascii="Arial" w:eastAsia="Arial" w:hAnsi="Arial" w:cs="Arial"/>
                <w:color w:val="auto"/>
                <w:sz w:val="16"/>
                <w:szCs w:val="16"/>
              </w:rPr>
            </w:pPr>
            <w:r w:rsidRPr="00EC4A3F">
              <w:rPr>
                <w:rFonts w:ascii="Arial" w:eastAsia="Arial" w:hAnsi="Arial" w:cs="Arial"/>
                <w:color w:val="auto"/>
                <w:sz w:val="16"/>
                <w:szCs w:val="16"/>
              </w:rPr>
              <w:t>Planet</w:t>
            </w:r>
          </w:p>
        </w:tc>
        <w:tc>
          <w:tcPr>
            <w:tcW w:w="708" w:type="dxa"/>
          </w:tcPr>
          <w:p w14:paraId="7333762E"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777" w:type="dxa"/>
          </w:tcPr>
          <w:p w14:paraId="1849B9ED" w14:textId="77777777" w:rsidR="00EC4A3F" w:rsidRPr="00EC4A3F" w:rsidRDefault="00EC4A3F" w:rsidP="00EC4A3F">
            <w:pPr>
              <w:spacing w:after="0" w:line="240" w:lineRule="auto"/>
              <w:ind w:left="0" w:right="0" w:firstLine="0"/>
              <w:rPr>
                <w:rFonts w:ascii="Arial" w:eastAsia="Arial" w:hAnsi="Arial" w:cs="Arial"/>
                <w:color w:val="auto"/>
                <w:sz w:val="16"/>
                <w:szCs w:val="16"/>
              </w:rPr>
            </w:pPr>
          </w:p>
        </w:tc>
        <w:tc>
          <w:tcPr>
            <w:tcW w:w="1134" w:type="dxa"/>
          </w:tcPr>
          <w:p w14:paraId="5F6E6C46" w14:textId="77777777" w:rsidR="00EC4A3F" w:rsidRPr="00EC4A3F" w:rsidRDefault="00EC4A3F" w:rsidP="00EC4A3F">
            <w:pPr>
              <w:spacing w:after="0" w:line="240" w:lineRule="auto"/>
              <w:ind w:left="0" w:right="0" w:firstLine="0"/>
              <w:rPr>
                <w:rFonts w:ascii="Arial" w:eastAsia="Arial" w:hAnsi="Arial" w:cs="Arial"/>
                <w:color w:val="auto"/>
              </w:rPr>
            </w:pPr>
          </w:p>
        </w:tc>
      </w:tr>
      <w:tr w:rsidR="00EC4A3F" w:rsidRPr="00EC4A3F" w14:paraId="0086BA3D" w14:textId="77777777" w:rsidTr="00EC5800">
        <w:trPr>
          <w:trHeight w:val="300"/>
        </w:trPr>
        <w:tc>
          <w:tcPr>
            <w:tcW w:w="1977" w:type="dxa"/>
          </w:tcPr>
          <w:p w14:paraId="7143ABBA"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 xml:space="preserve">Policy/Document Reference No. </w:t>
            </w:r>
          </w:p>
        </w:tc>
        <w:tc>
          <w:tcPr>
            <w:tcW w:w="6733" w:type="dxa"/>
            <w:gridSpan w:val="8"/>
          </w:tcPr>
          <w:p w14:paraId="4C1FF1A9" w14:textId="16A81020" w:rsidR="00EC4A3F" w:rsidRPr="00EC4A3F" w:rsidRDefault="00262FBF" w:rsidP="00EC4A3F">
            <w:pPr>
              <w:spacing w:after="0" w:line="240" w:lineRule="auto"/>
              <w:ind w:left="0" w:right="0" w:firstLine="0"/>
              <w:rPr>
                <w:rFonts w:ascii="Arial" w:eastAsia="Arial" w:hAnsi="Arial" w:cs="Arial"/>
                <w:color w:val="auto"/>
              </w:rPr>
            </w:pPr>
            <w:r>
              <w:rPr>
                <w:rFonts w:ascii="Arial" w:eastAsia="Arial" w:hAnsi="Arial" w:cs="Arial"/>
                <w:color w:val="auto"/>
              </w:rPr>
              <w:t>QUA05</w:t>
            </w:r>
          </w:p>
        </w:tc>
      </w:tr>
      <w:tr w:rsidR="00EC4A3F" w:rsidRPr="00EC4A3F" w14:paraId="69C1CA3C" w14:textId="77777777" w:rsidTr="00EC5800">
        <w:trPr>
          <w:trHeight w:val="300"/>
        </w:trPr>
        <w:tc>
          <w:tcPr>
            <w:tcW w:w="1977" w:type="dxa"/>
          </w:tcPr>
          <w:p w14:paraId="4BA36178"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Category</w:t>
            </w:r>
          </w:p>
        </w:tc>
        <w:tc>
          <w:tcPr>
            <w:tcW w:w="6733" w:type="dxa"/>
            <w:gridSpan w:val="8"/>
          </w:tcPr>
          <w:p w14:paraId="55DF11FC" w14:textId="63D388B9" w:rsidR="00EC4A3F" w:rsidRPr="00EC4A3F" w:rsidRDefault="00262FBF" w:rsidP="00EC4A3F">
            <w:pPr>
              <w:spacing w:after="0" w:line="240" w:lineRule="auto"/>
              <w:ind w:left="0" w:right="0" w:firstLine="0"/>
              <w:rPr>
                <w:rFonts w:ascii="Arial" w:eastAsia="Arial" w:hAnsi="Arial" w:cs="Arial"/>
                <w:color w:val="auto"/>
              </w:rPr>
            </w:pPr>
            <w:r>
              <w:rPr>
                <w:rFonts w:ascii="Arial" w:eastAsia="Arial" w:hAnsi="Arial" w:cs="Arial"/>
                <w:color w:val="auto"/>
              </w:rPr>
              <w:t>Quality</w:t>
            </w:r>
          </w:p>
        </w:tc>
      </w:tr>
      <w:tr w:rsidR="00EC4A3F" w:rsidRPr="00EC4A3F" w14:paraId="3A13E721" w14:textId="77777777" w:rsidTr="00EC5800">
        <w:trPr>
          <w:trHeight w:val="300"/>
        </w:trPr>
        <w:tc>
          <w:tcPr>
            <w:tcW w:w="1977" w:type="dxa"/>
          </w:tcPr>
          <w:p w14:paraId="4A7849E5"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Owner (job title)</w:t>
            </w:r>
          </w:p>
        </w:tc>
        <w:tc>
          <w:tcPr>
            <w:tcW w:w="6733" w:type="dxa"/>
            <w:gridSpan w:val="8"/>
          </w:tcPr>
          <w:p w14:paraId="03B7B7D4" w14:textId="69C01B0C" w:rsidR="00EC4A3F" w:rsidRPr="00EC4A3F" w:rsidRDefault="00262FBF" w:rsidP="00EC4A3F">
            <w:pPr>
              <w:spacing w:after="0" w:line="240" w:lineRule="auto"/>
              <w:ind w:left="0" w:right="0" w:firstLine="0"/>
              <w:rPr>
                <w:rFonts w:ascii="Arial" w:eastAsia="Arial" w:hAnsi="Arial" w:cs="Arial"/>
                <w:color w:val="auto"/>
              </w:rPr>
            </w:pPr>
            <w:r>
              <w:rPr>
                <w:rFonts w:ascii="Arial" w:eastAsia="Arial" w:hAnsi="Arial" w:cs="Arial"/>
                <w:color w:val="auto"/>
              </w:rPr>
              <w:t>Vice Principal Higher Education, Adult &amp; Curriculum Development</w:t>
            </w:r>
          </w:p>
        </w:tc>
      </w:tr>
      <w:tr w:rsidR="00EC4A3F" w:rsidRPr="00EC4A3F" w14:paraId="0775BB9C" w14:textId="77777777" w:rsidTr="00EC5800">
        <w:trPr>
          <w:trHeight w:val="300"/>
        </w:trPr>
        <w:tc>
          <w:tcPr>
            <w:tcW w:w="1977" w:type="dxa"/>
          </w:tcPr>
          <w:p w14:paraId="2896AFC9"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Issue Date</w:t>
            </w:r>
          </w:p>
        </w:tc>
        <w:tc>
          <w:tcPr>
            <w:tcW w:w="6733" w:type="dxa"/>
            <w:gridSpan w:val="8"/>
          </w:tcPr>
          <w:p w14:paraId="37E280D8" w14:textId="44E189C8" w:rsidR="00EC4A3F" w:rsidRPr="00EC4A3F" w:rsidRDefault="00064B74" w:rsidP="00EC4A3F">
            <w:pPr>
              <w:spacing w:after="0" w:line="240" w:lineRule="auto"/>
              <w:ind w:left="0" w:right="0" w:firstLine="0"/>
              <w:rPr>
                <w:rFonts w:ascii="Arial" w:eastAsia="Arial" w:hAnsi="Arial" w:cs="Arial"/>
                <w:color w:val="auto"/>
              </w:rPr>
            </w:pPr>
            <w:r>
              <w:rPr>
                <w:rFonts w:ascii="Arial" w:eastAsia="Arial" w:hAnsi="Arial" w:cs="Arial"/>
                <w:color w:val="auto"/>
              </w:rPr>
              <w:t>June 2026</w:t>
            </w:r>
          </w:p>
        </w:tc>
      </w:tr>
      <w:tr w:rsidR="00EC4A3F" w:rsidRPr="00EC4A3F" w14:paraId="21B25611" w14:textId="77777777" w:rsidTr="00EC5800">
        <w:trPr>
          <w:trHeight w:val="300"/>
        </w:trPr>
        <w:tc>
          <w:tcPr>
            <w:tcW w:w="1977" w:type="dxa"/>
          </w:tcPr>
          <w:p w14:paraId="4AAAFAAE"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Review Date</w:t>
            </w:r>
          </w:p>
        </w:tc>
        <w:tc>
          <w:tcPr>
            <w:tcW w:w="6733" w:type="dxa"/>
            <w:gridSpan w:val="8"/>
          </w:tcPr>
          <w:p w14:paraId="1C5FC918" w14:textId="1CE076B8" w:rsidR="00EC4A3F" w:rsidRPr="00EC4A3F" w:rsidRDefault="00064B74" w:rsidP="00EC4A3F">
            <w:pPr>
              <w:spacing w:after="0" w:line="240" w:lineRule="auto"/>
              <w:ind w:left="0" w:right="0" w:firstLine="0"/>
              <w:rPr>
                <w:rFonts w:ascii="Arial" w:eastAsia="Arial" w:hAnsi="Arial" w:cs="Arial"/>
                <w:color w:val="auto"/>
              </w:rPr>
            </w:pPr>
            <w:r>
              <w:rPr>
                <w:rFonts w:ascii="Arial" w:eastAsia="Arial" w:hAnsi="Arial" w:cs="Arial"/>
                <w:color w:val="auto"/>
              </w:rPr>
              <w:t>June 2028</w:t>
            </w:r>
          </w:p>
        </w:tc>
      </w:tr>
      <w:tr w:rsidR="00EC4A3F" w:rsidRPr="00EC4A3F" w14:paraId="68AE3EC1" w14:textId="77777777" w:rsidTr="00EC5800">
        <w:trPr>
          <w:trHeight w:val="300"/>
        </w:trPr>
        <w:tc>
          <w:tcPr>
            <w:tcW w:w="1977" w:type="dxa"/>
          </w:tcPr>
          <w:p w14:paraId="519C946E"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Postholder Responsible for Review (job title)</w:t>
            </w:r>
          </w:p>
        </w:tc>
        <w:tc>
          <w:tcPr>
            <w:tcW w:w="6733" w:type="dxa"/>
            <w:gridSpan w:val="8"/>
          </w:tcPr>
          <w:p w14:paraId="7EF71A05" w14:textId="045DF23C" w:rsidR="00EC4A3F" w:rsidRPr="00EC4A3F" w:rsidRDefault="00064B74" w:rsidP="00EC4A3F">
            <w:pPr>
              <w:spacing w:after="0" w:line="240" w:lineRule="auto"/>
              <w:ind w:left="0" w:right="0" w:firstLine="0"/>
              <w:rPr>
                <w:rFonts w:ascii="Arial" w:eastAsia="Arial" w:hAnsi="Arial" w:cs="Arial"/>
                <w:color w:val="auto"/>
              </w:rPr>
            </w:pPr>
            <w:r>
              <w:rPr>
                <w:rFonts w:ascii="Arial" w:eastAsia="Arial" w:hAnsi="Arial" w:cs="Arial"/>
                <w:color w:val="auto"/>
              </w:rPr>
              <w:t>Vice Principal Higher Education, Adult &amp; Curriculum Development</w:t>
            </w:r>
          </w:p>
        </w:tc>
      </w:tr>
      <w:tr w:rsidR="00EC4A3F" w:rsidRPr="00EC4A3F" w14:paraId="51E67CB6" w14:textId="77777777" w:rsidTr="00EC5800">
        <w:trPr>
          <w:trHeight w:val="300"/>
        </w:trPr>
        <w:tc>
          <w:tcPr>
            <w:tcW w:w="1977" w:type="dxa"/>
          </w:tcPr>
          <w:p w14:paraId="7FAA6593"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Authorised By:</w:t>
            </w:r>
          </w:p>
          <w:p w14:paraId="4707B515"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(ELT/Corporation)</w:t>
            </w:r>
          </w:p>
        </w:tc>
        <w:tc>
          <w:tcPr>
            <w:tcW w:w="6733" w:type="dxa"/>
            <w:gridSpan w:val="8"/>
          </w:tcPr>
          <w:p w14:paraId="0DBACA10" w14:textId="607E3408" w:rsidR="00EC4A3F" w:rsidRPr="00EC4A3F" w:rsidRDefault="00567441" w:rsidP="00EC4A3F">
            <w:pPr>
              <w:spacing w:after="0" w:line="240" w:lineRule="auto"/>
              <w:ind w:left="0" w:right="0" w:firstLine="0"/>
              <w:rPr>
                <w:rFonts w:ascii="Arial" w:eastAsia="Arial" w:hAnsi="Arial" w:cs="Arial"/>
                <w:color w:val="auto"/>
              </w:rPr>
            </w:pPr>
            <w:r>
              <w:rPr>
                <w:rFonts w:ascii="Arial" w:eastAsia="Arial" w:hAnsi="Arial" w:cs="Arial"/>
                <w:color w:val="auto"/>
              </w:rPr>
              <w:t>ELT</w:t>
            </w:r>
          </w:p>
        </w:tc>
      </w:tr>
      <w:tr w:rsidR="00EC4A3F" w:rsidRPr="00EC4A3F" w14:paraId="682967BC" w14:textId="77777777" w:rsidTr="00EC5800">
        <w:trPr>
          <w:trHeight w:val="300"/>
        </w:trPr>
        <w:tc>
          <w:tcPr>
            <w:tcW w:w="1977" w:type="dxa"/>
          </w:tcPr>
          <w:p w14:paraId="124B351A"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Communicated via/Location:</w:t>
            </w:r>
          </w:p>
          <w:p w14:paraId="6A40D7E5"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(Policy Acceptance software/website/</w:t>
            </w:r>
          </w:p>
          <w:p w14:paraId="54A767E6"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portal etc)</w:t>
            </w:r>
          </w:p>
        </w:tc>
        <w:tc>
          <w:tcPr>
            <w:tcW w:w="6733" w:type="dxa"/>
            <w:gridSpan w:val="8"/>
          </w:tcPr>
          <w:p w14:paraId="31999F32" w14:textId="77777777" w:rsidR="00EC4A3F" w:rsidRDefault="00567441" w:rsidP="00EC4A3F">
            <w:pPr>
              <w:spacing w:after="0" w:line="240" w:lineRule="auto"/>
              <w:ind w:left="0" w:right="0" w:firstLine="0"/>
              <w:rPr>
                <w:rFonts w:ascii="Arial" w:eastAsia="Arial" w:hAnsi="Arial" w:cs="Arial"/>
                <w:color w:val="auto"/>
              </w:rPr>
            </w:pPr>
            <w:r>
              <w:rPr>
                <w:rFonts w:ascii="Arial" w:eastAsia="Arial" w:hAnsi="Arial" w:cs="Arial"/>
                <w:color w:val="auto"/>
              </w:rPr>
              <w:t>Portal</w:t>
            </w:r>
          </w:p>
          <w:p w14:paraId="3549B820" w14:textId="65A0AC64" w:rsidR="00567441" w:rsidRPr="00EC4A3F" w:rsidRDefault="00567441" w:rsidP="00EC4A3F">
            <w:pPr>
              <w:spacing w:after="0" w:line="240" w:lineRule="auto"/>
              <w:ind w:left="0" w:right="0" w:firstLine="0"/>
              <w:rPr>
                <w:rFonts w:ascii="Arial" w:eastAsia="Arial" w:hAnsi="Arial" w:cs="Arial"/>
                <w:color w:val="auto"/>
              </w:rPr>
            </w:pPr>
            <w:r>
              <w:rPr>
                <w:rFonts w:ascii="Arial" w:eastAsia="Arial" w:hAnsi="Arial" w:cs="Arial"/>
                <w:color w:val="auto"/>
              </w:rPr>
              <w:t>Website</w:t>
            </w:r>
          </w:p>
        </w:tc>
      </w:tr>
      <w:tr w:rsidR="00EC4A3F" w:rsidRPr="00EC4A3F" w14:paraId="430DF604" w14:textId="77777777" w:rsidTr="00EC5800">
        <w:trPr>
          <w:trHeight w:val="300"/>
        </w:trPr>
        <w:tc>
          <w:tcPr>
            <w:tcW w:w="8710" w:type="dxa"/>
            <w:gridSpan w:val="9"/>
          </w:tcPr>
          <w:p w14:paraId="177D7569" w14:textId="77777777" w:rsidR="00EC4A3F" w:rsidRPr="00EC4A3F" w:rsidRDefault="00EC4A3F" w:rsidP="00EC4A3F">
            <w:pPr>
              <w:spacing w:after="0" w:line="240" w:lineRule="auto"/>
              <w:ind w:left="0" w:right="0" w:firstLine="0"/>
              <w:jc w:val="center"/>
              <w:rPr>
                <w:rFonts w:ascii="Arial" w:eastAsia="Arial" w:hAnsi="Arial" w:cs="Arial"/>
                <w:b/>
                <w:bCs/>
                <w:color w:val="auto"/>
              </w:rPr>
            </w:pPr>
            <w:r w:rsidRPr="00EC4A3F">
              <w:rPr>
                <w:rFonts w:ascii="Arial" w:eastAsia="Arial" w:hAnsi="Arial" w:cs="Arial"/>
                <w:b/>
                <w:bCs/>
                <w:color w:val="auto"/>
              </w:rPr>
              <w:t>For completion by The Author</w:t>
            </w:r>
          </w:p>
        </w:tc>
      </w:tr>
      <w:tr w:rsidR="00EC4A3F" w:rsidRPr="00EC4A3F" w14:paraId="296C9AE7" w14:textId="77777777" w:rsidTr="00EC5800">
        <w:trPr>
          <w:trHeight w:val="300"/>
        </w:trPr>
        <w:tc>
          <w:tcPr>
            <w:tcW w:w="1977" w:type="dxa"/>
          </w:tcPr>
          <w:p w14:paraId="09A3CC20"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 xml:space="preserve">Version control </w:t>
            </w:r>
          </w:p>
        </w:tc>
        <w:tc>
          <w:tcPr>
            <w:tcW w:w="6733" w:type="dxa"/>
            <w:gridSpan w:val="8"/>
          </w:tcPr>
          <w:p w14:paraId="6BDAA4D7"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Date and Details of Change (Author)</w:t>
            </w:r>
          </w:p>
          <w:p w14:paraId="3DF2B54E" w14:textId="77777777" w:rsidR="00EC4A3F" w:rsidRPr="00EC4A3F" w:rsidRDefault="00EC4A3F" w:rsidP="00EC4A3F">
            <w:pPr>
              <w:spacing w:after="0" w:line="240" w:lineRule="auto"/>
              <w:ind w:left="0" w:right="0" w:firstLine="0"/>
              <w:rPr>
                <w:rFonts w:ascii="Arial" w:eastAsia="Arial" w:hAnsi="Arial" w:cs="Arial"/>
                <w:color w:val="auto"/>
              </w:rPr>
            </w:pPr>
          </w:p>
          <w:p w14:paraId="23224C14" w14:textId="77777777" w:rsidR="00EC4A3F" w:rsidRPr="00EC4A3F" w:rsidRDefault="00EC4A3F" w:rsidP="00EC4A3F">
            <w:pPr>
              <w:spacing w:after="0" w:line="240" w:lineRule="auto"/>
              <w:ind w:left="0" w:right="0" w:firstLine="0"/>
              <w:rPr>
                <w:rFonts w:ascii="Arial" w:eastAsia="Arial" w:hAnsi="Arial" w:cs="Arial"/>
                <w:color w:val="auto"/>
              </w:rPr>
            </w:pPr>
          </w:p>
          <w:p w14:paraId="75CD4D77"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Date and Details of Change (Author)</w:t>
            </w:r>
          </w:p>
          <w:p w14:paraId="6021C2E4" w14:textId="77777777" w:rsidR="00EC4A3F" w:rsidRPr="00EC4A3F" w:rsidRDefault="00EC4A3F" w:rsidP="00EC4A3F">
            <w:pPr>
              <w:spacing w:after="0" w:line="240" w:lineRule="auto"/>
              <w:ind w:left="0" w:right="0" w:firstLine="0"/>
              <w:rPr>
                <w:rFonts w:ascii="Arial" w:eastAsia="Arial" w:hAnsi="Arial" w:cs="Arial"/>
                <w:color w:val="auto"/>
              </w:rPr>
            </w:pPr>
          </w:p>
          <w:p w14:paraId="0A3E9DFE" w14:textId="77777777" w:rsidR="00EC4A3F" w:rsidRPr="00EC4A3F" w:rsidRDefault="00EC4A3F" w:rsidP="00EC4A3F">
            <w:pPr>
              <w:spacing w:after="0" w:line="240" w:lineRule="auto"/>
              <w:ind w:left="0" w:right="0" w:firstLine="0"/>
              <w:rPr>
                <w:rFonts w:ascii="Arial" w:eastAsia="Arial" w:hAnsi="Arial" w:cs="Arial"/>
                <w:color w:val="auto"/>
              </w:rPr>
            </w:pPr>
          </w:p>
          <w:p w14:paraId="1F3FC1BD" w14:textId="77777777" w:rsidR="00EC4A3F" w:rsidRPr="00EC4A3F" w:rsidRDefault="00EC4A3F" w:rsidP="00EC4A3F">
            <w:pPr>
              <w:spacing w:after="0" w:line="240" w:lineRule="auto"/>
              <w:ind w:left="0" w:right="0" w:firstLine="0"/>
              <w:rPr>
                <w:rFonts w:ascii="Arial" w:eastAsia="Arial" w:hAnsi="Arial" w:cs="Arial"/>
                <w:color w:val="auto"/>
              </w:rPr>
            </w:pPr>
            <w:r w:rsidRPr="00EC4A3F">
              <w:rPr>
                <w:rFonts w:ascii="Arial" w:eastAsia="Arial" w:hAnsi="Arial" w:cs="Arial"/>
                <w:color w:val="auto"/>
              </w:rPr>
              <w:t>Date and Details of Change (Author)</w:t>
            </w:r>
          </w:p>
          <w:p w14:paraId="6BF8266E" w14:textId="77777777" w:rsidR="00EC4A3F" w:rsidRPr="00EC4A3F" w:rsidRDefault="00EC4A3F" w:rsidP="00EC4A3F">
            <w:pPr>
              <w:spacing w:after="0" w:line="240" w:lineRule="auto"/>
              <w:ind w:left="0" w:right="0" w:firstLine="0"/>
              <w:rPr>
                <w:rFonts w:ascii="Arial" w:eastAsia="Arial" w:hAnsi="Arial" w:cs="Arial"/>
                <w:color w:val="auto"/>
              </w:rPr>
            </w:pPr>
          </w:p>
          <w:p w14:paraId="29E741B3" w14:textId="77777777" w:rsidR="00EC4A3F" w:rsidRPr="00EC4A3F" w:rsidRDefault="00EC4A3F" w:rsidP="00EC4A3F">
            <w:pPr>
              <w:spacing w:after="0" w:line="240" w:lineRule="auto"/>
              <w:ind w:left="0" w:right="0" w:firstLine="0"/>
              <w:rPr>
                <w:rFonts w:ascii="Arial" w:eastAsia="Arial" w:hAnsi="Arial" w:cs="Arial"/>
                <w:color w:val="auto"/>
              </w:rPr>
            </w:pPr>
          </w:p>
          <w:p w14:paraId="27D02DB2" w14:textId="77777777" w:rsidR="00EC4A3F" w:rsidRPr="00EC4A3F" w:rsidRDefault="00EC4A3F" w:rsidP="00EC4A3F">
            <w:pPr>
              <w:spacing w:after="0" w:line="240" w:lineRule="auto"/>
              <w:ind w:left="0" w:right="0" w:firstLine="0"/>
              <w:rPr>
                <w:rFonts w:ascii="Arial" w:eastAsia="Arial" w:hAnsi="Arial" w:cs="Arial"/>
                <w:color w:val="auto"/>
              </w:rPr>
            </w:pPr>
          </w:p>
          <w:p w14:paraId="7875CBF2" w14:textId="77777777" w:rsidR="00EC4A3F" w:rsidRPr="00EC4A3F" w:rsidRDefault="00EC4A3F" w:rsidP="00EC4A3F">
            <w:pPr>
              <w:spacing w:after="0" w:line="240" w:lineRule="auto"/>
              <w:ind w:left="0" w:right="0" w:firstLine="0"/>
              <w:rPr>
                <w:rFonts w:ascii="Arial" w:eastAsia="Arial" w:hAnsi="Arial" w:cs="Arial"/>
                <w:color w:val="auto"/>
              </w:rPr>
            </w:pPr>
          </w:p>
          <w:p w14:paraId="5A1DEB4A" w14:textId="77777777" w:rsidR="00EC4A3F" w:rsidRPr="00EC4A3F" w:rsidRDefault="00EC4A3F" w:rsidP="00EC4A3F">
            <w:pPr>
              <w:spacing w:after="0" w:line="240" w:lineRule="auto"/>
              <w:ind w:left="0" w:right="0" w:firstLine="0"/>
              <w:rPr>
                <w:rFonts w:ascii="Arial" w:eastAsia="Arial" w:hAnsi="Arial" w:cs="Arial"/>
                <w:color w:val="auto"/>
              </w:rPr>
            </w:pPr>
          </w:p>
          <w:p w14:paraId="48D850C5" w14:textId="77777777" w:rsidR="00EC4A3F" w:rsidRPr="00EC4A3F" w:rsidRDefault="00EC4A3F" w:rsidP="00EC4A3F">
            <w:pPr>
              <w:spacing w:after="0" w:line="240" w:lineRule="auto"/>
              <w:ind w:left="0" w:right="0" w:firstLine="0"/>
              <w:rPr>
                <w:rFonts w:ascii="Arial" w:eastAsia="Arial" w:hAnsi="Arial" w:cs="Arial"/>
                <w:color w:val="auto"/>
              </w:rPr>
            </w:pPr>
          </w:p>
          <w:p w14:paraId="2D9F7C12" w14:textId="77777777" w:rsidR="00EC4A3F" w:rsidRPr="00EC4A3F" w:rsidRDefault="00EC4A3F" w:rsidP="00EC4A3F">
            <w:pPr>
              <w:spacing w:after="0" w:line="240" w:lineRule="auto"/>
              <w:ind w:left="0" w:right="0" w:firstLine="0"/>
              <w:rPr>
                <w:rFonts w:ascii="Arial" w:eastAsia="Arial" w:hAnsi="Arial" w:cs="Arial"/>
                <w:color w:val="auto"/>
              </w:rPr>
            </w:pPr>
          </w:p>
          <w:p w14:paraId="5A678499" w14:textId="77777777" w:rsidR="00EC4A3F" w:rsidRPr="00EC4A3F" w:rsidRDefault="00EC4A3F" w:rsidP="00EC4A3F">
            <w:pPr>
              <w:spacing w:after="0" w:line="240" w:lineRule="auto"/>
              <w:ind w:left="0" w:right="0" w:firstLine="0"/>
              <w:rPr>
                <w:rFonts w:ascii="Arial" w:eastAsia="Arial" w:hAnsi="Arial" w:cs="Arial"/>
                <w:color w:val="auto"/>
              </w:rPr>
            </w:pPr>
          </w:p>
          <w:p w14:paraId="5056B50D" w14:textId="77777777" w:rsidR="00EC4A3F" w:rsidRPr="00EC4A3F" w:rsidRDefault="00EC4A3F" w:rsidP="00EC4A3F">
            <w:pPr>
              <w:spacing w:after="0" w:line="240" w:lineRule="auto"/>
              <w:ind w:left="0" w:right="0" w:firstLine="0"/>
              <w:rPr>
                <w:rFonts w:ascii="Arial" w:eastAsia="Arial" w:hAnsi="Arial" w:cs="Arial"/>
                <w:color w:val="auto"/>
              </w:rPr>
            </w:pPr>
          </w:p>
        </w:tc>
      </w:tr>
    </w:tbl>
    <w:p w14:paraId="5EF68BA5" w14:textId="3BC14B7C" w:rsidR="006B6FA8" w:rsidRPr="006B6FA8" w:rsidRDefault="006B6FA8" w:rsidP="00F07A5A">
      <w:pPr>
        <w:spacing w:after="0" w:line="259" w:lineRule="auto"/>
        <w:ind w:left="0" w:right="0" w:firstLine="0"/>
        <w:jc w:val="right"/>
        <w:rPr>
          <w:rFonts w:asciiTheme="minorHAnsi" w:eastAsiaTheme="minorHAnsi" w:hAnsiTheme="minorHAnsi" w:cstheme="minorBidi"/>
          <w:color w:val="auto"/>
          <w:lang w:eastAsia="en-US"/>
        </w:rPr>
      </w:pPr>
    </w:p>
    <w:p w14:paraId="4FDFFD72" w14:textId="0563E017" w:rsidR="009E6525" w:rsidRDefault="009E6525" w:rsidP="00F65279">
      <w:pPr>
        <w:spacing w:after="0" w:line="259" w:lineRule="auto"/>
        <w:ind w:left="0" w:right="0" w:firstLine="0"/>
        <w:rPr>
          <w:b/>
        </w:rPr>
      </w:pPr>
    </w:p>
    <w:p w14:paraId="18693833" w14:textId="77777777" w:rsidR="00567441" w:rsidRDefault="00567441" w:rsidP="00F65279">
      <w:pPr>
        <w:spacing w:after="0" w:line="259" w:lineRule="auto"/>
        <w:ind w:left="0" w:right="0" w:firstLine="0"/>
        <w:rPr>
          <w:b/>
        </w:rPr>
      </w:pPr>
    </w:p>
    <w:p w14:paraId="3C8F5D09" w14:textId="77777777" w:rsidR="00567441" w:rsidRDefault="00567441" w:rsidP="00F65279">
      <w:pPr>
        <w:spacing w:after="0" w:line="259" w:lineRule="auto"/>
        <w:ind w:left="0" w:right="0" w:firstLine="0"/>
        <w:rPr>
          <w:b/>
        </w:rPr>
      </w:pPr>
    </w:p>
    <w:p w14:paraId="49779B09" w14:textId="77777777" w:rsidR="00567441" w:rsidRDefault="00567441" w:rsidP="00F65279">
      <w:pPr>
        <w:spacing w:after="0" w:line="259" w:lineRule="auto"/>
        <w:ind w:left="0" w:right="0" w:firstLine="0"/>
        <w:rPr>
          <w:b/>
        </w:rPr>
      </w:pPr>
    </w:p>
    <w:p w14:paraId="12A319FC" w14:textId="77777777" w:rsidR="00567441" w:rsidRDefault="00567441" w:rsidP="00F65279">
      <w:pPr>
        <w:spacing w:after="0" w:line="259" w:lineRule="auto"/>
        <w:ind w:left="0" w:right="0" w:firstLine="0"/>
        <w:rPr>
          <w:b/>
        </w:rPr>
      </w:pPr>
    </w:p>
    <w:p w14:paraId="00A43E38" w14:textId="77777777" w:rsidR="00567441" w:rsidRDefault="00567441" w:rsidP="00F65279">
      <w:pPr>
        <w:spacing w:after="0" w:line="259" w:lineRule="auto"/>
        <w:ind w:left="0" w:right="0" w:firstLine="0"/>
      </w:pPr>
    </w:p>
    <w:p w14:paraId="4FDFFD73" w14:textId="5AA04530" w:rsidR="009E6525" w:rsidRPr="00F07A5A" w:rsidRDefault="0080015A" w:rsidP="00F07A5A">
      <w:pPr>
        <w:pStyle w:val="Heading1"/>
        <w:rPr>
          <w:color w:val="2F5496" w:themeColor="accent1" w:themeShade="BF"/>
        </w:rPr>
      </w:pPr>
      <w:r>
        <w:rPr>
          <w:rFonts w:asciiTheme="minorHAnsi" w:hAnsiTheme="minorHAnsi" w:cstheme="minorHAnsi"/>
          <w:color w:val="2F5496" w:themeColor="accent1" w:themeShade="BF"/>
        </w:rPr>
        <w:t>1.</w:t>
      </w:r>
      <w:r w:rsidR="500917E0" w:rsidRPr="00F07A5A">
        <w:rPr>
          <w:rFonts w:asciiTheme="minorHAnsi" w:hAnsiTheme="minorHAnsi" w:cstheme="minorHAnsi"/>
          <w:color w:val="2F5496" w:themeColor="accent1" w:themeShade="BF"/>
        </w:rPr>
        <w:t>Purpose</w:t>
      </w:r>
      <w:r w:rsidR="006D678F" w:rsidRPr="00F07A5A">
        <w:rPr>
          <w:color w:val="2F5496" w:themeColor="accent1" w:themeShade="BF"/>
        </w:rPr>
        <w:t xml:space="preserve"> </w:t>
      </w:r>
    </w:p>
    <w:p w14:paraId="4FDFFD74" w14:textId="41FF6489" w:rsidR="009E6525" w:rsidRDefault="006D678F" w:rsidP="00F65279">
      <w:pPr>
        <w:spacing w:after="0"/>
        <w:ind w:left="-5" w:right="0"/>
      </w:pPr>
      <w:r>
        <w:t>Heart of Worcestershire College (‘</w:t>
      </w:r>
      <w:r w:rsidR="007E1262">
        <w:t>t</w:t>
      </w:r>
      <w:r>
        <w:t xml:space="preserve">he College’) is </w:t>
      </w:r>
      <w:r w:rsidR="00F470C7">
        <w:t xml:space="preserve">committed to delivering high-quality Further and Higher Education and promoting student success. </w:t>
      </w:r>
      <w:r>
        <w:t xml:space="preserve">  Through </w:t>
      </w:r>
      <w:r w:rsidR="00276644">
        <w:t xml:space="preserve">its </w:t>
      </w:r>
      <w:r>
        <w:t>fair</w:t>
      </w:r>
      <w:r w:rsidR="000F153E">
        <w:t>, transparent</w:t>
      </w:r>
      <w:r>
        <w:t xml:space="preserve"> admissions process,</w:t>
      </w:r>
      <w:r w:rsidR="00565346">
        <w:t xml:space="preserve"> the College supports widening participation and equitable access to Higher Education. </w:t>
      </w:r>
      <w:r>
        <w:t xml:space="preserve">   This policy </w:t>
      </w:r>
      <w:r w:rsidR="00565346">
        <w:t xml:space="preserve">is </w:t>
      </w:r>
      <w:r w:rsidR="009916D5">
        <w:t xml:space="preserve">informed by </w:t>
      </w:r>
      <w:r>
        <w:t xml:space="preserve">SPA Good Practice Statements, UCAS guidance, Consumer Markets Authority </w:t>
      </w:r>
      <w:r w:rsidR="009916D5">
        <w:t>(CMA)</w:t>
      </w:r>
      <w:r w:rsidR="00CD2F11">
        <w:t xml:space="preserve"> </w:t>
      </w:r>
      <w:r>
        <w:t xml:space="preserve">guidance for HEI’s, and </w:t>
      </w:r>
      <w:r w:rsidR="00CD2F11">
        <w:t xml:space="preserve">relevant </w:t>
      </w:r>
      <w:r>
        <w:t xml:space="preserve">Quality Codes. </w:t>
      </w:r>
    </w:p>
    <w:p w14:paraId="7AF7E484" w14:textId="77777777" w:rsidR="0080015A" w:rsidRDefault="0080015A" w:rsidP="00F07A5A">
      <w:pPr>
        <w:spacing w:after="0"/>
        <w:ind w:left="-5" w:right="0"/>
      </w:pPr>
    </w:p>
    <w:p w14:paraId="4FDFFD75" w14:textId="463234E2" w:rsidR="009E6525" w:rsidRPr="00F07A5A" w:rsidRDefault="003B2FCC" w:rsidP="00F07A5A">
      <w:pPr>
        <w:pStyle w:val="Heading1"/>
        <w:ind w:left="0" w:firstLine="0"/>
        <w:rPr>
          <w:rFonts w:asciiTheme="minorHAnsi" w:eastAsiaTheme="minorEastAsia" w:hAnsiTheme="minorHAnsi" w:cstheme="minorBidi"/>
          <w:color w:val="2F5496" w:themeColor="accent1" w:themeShade="BF"/>
        </w:rPr>
      </w:pPr>
      <w:r>
        <w:rPr>
          <w:rFonts w:asciiTheme="minorHAnsi" w:eastAsiaTheme="minorEastAsia" w:hAnsiTheme="minorHAnsi" w:cstheme="minorBidi"/>
          <w:color w:val="2F5496" w:themeColor="accent1" w:themeShade="BF"/>
        </w:rPr>
        <w:t xml:space="preserve">2. </w:t>
      </w:r>
      <w:r w:rsidR="006D678F" w:rsidRPr="00F07A5A">
        <w:rPr>
          <w:rFonts w:asciiTheme="minorHAnsi" w:eastAsiaTheme="minorEastAsia" w:hAnsiTheme="minorHAnsi" w:cstheme="minorBidi"/>
          <w:color w:val="2F5496" w:themeColor="accent1" w:themeShade="BF"/>
        </w:rPr>
        <w:t xml:space="preserve"> </w:t>
      </w:r>
      <w:r w:rsidR="0080015A">
        <w:rPr>
          <w:rFonts w:asciiTheme="minorHAnsi" w:eastAsiaTheme="minorEastAsia" w:hAnsiTheme="minorHAnsi" w:cstheme="minorBidi"/>
          <w:color w:val="2F5496" w:themeColor="accent1" w:themeShade="BF"/>
        </w:rPr>
        <w:t>Scope</w:t>
      </w:r>
    </w:p>
    <w:p w14:paraId="4FDFFD76" w14:textId="2E471AB9" w:rsidR="009E6525" w:rsidRDefault="006D678F" w:rsidP="00F07A5A">
      <w:pPr>
        <w:spacing w:after="0"/>
        <w:ind w:left="-5" w:right="0"/>
      </w:pPr>
      <w:r>
        <w:t>This policy applies to all applicants</w:t>
      </w:r>
      <w:r w:rsidR="00CD2F11">
        <w:t xml:space="preserve"> for undergraduate, part-time, full-time, and professional Higher Education courses delivered across all College sites</w:t>
      </w:r>
      <w:r w:rsidR="00BD21B4">
        <w:t xml:space="preserve"> and through blended or distance learning. </w:t>
      </w:r>
      <w:r w:rsidR="004657FD">
        <w:t xml:space="preserve">It includes programmes validated by partner universities (University of Worcester and University of Wolverhampton), professional bodies, and other awarding organisations. </w:t>
      </w:r>
      <w:r w:rsidR="00D10CEC">
        <w:t xml:space="preserve">Where partnership agreements require application </w:t>
      </w:r>
      <w:r w:rsidR="00834F36">
        <w:t xml:space="preserve">of a university admissions policy, that policy will take precedence or be applied jointly where specified. </w:t>
      </w:r>
      <w:r>
        <w:t xml:space="preserve"> </w:t>
      </w:r>
    </w:p>
    <w:p w14:paraId="2CE089CC" w14:textId="77777777" w:rsidR="003B2FCC" w:rsidRDefault="003B2FCC" w:rsidP="00F07A5A">
      <w:pPr>
        <w:spacing w:after="0"/>
        <w:ind w:left="-5" w:right="0"/>
      </w:pPr>
    </w:p>
    <w:p w14:paraId="4FDFFD77" w14:textId="27940C37" w:rsidR="009E6525" w:rsidRPr="00F07A5A" w:rsidRDefault="1075EE3E" w:rsidP="00F65279">
      <w:pPr>
        <w:pStyle w:val="Heading1"/>
        <w:ind w:left="-5"/>
        <w:rPr>
          <w:color w:val="2F5496" w:themeColor="accent1" w:themeShade="BF"/>
        </w:rPr>
      </w:pPr>
      <w:r w:rsidRPr="00F07A5A">
        <w:rPr>
          <w:rFonts w:asciiTheme="minorHAnsi" w:eastAsiaTheme="minorEastAsia" w:hAnsiTheme="minorHAnsi" w:cstheme="minorBidi"/>
          <w:color w:val="2F5496" w:themeColor="accent1" w:themeShade="BF"/>
        </w:rPr>
        <w:t xml:space="preserve">3. </w:t>
      </w:r>
      <w:r w:rsidR="4FEC7D72" w:rsidRPr="00F07A5A">
        <w:rPr>
          <w:rFonts w:asciiTheme="minorHAnsi" w:eastAsiaTheme="minorEastAsia" w:hAnsiTheme="minorHAnsi" w:cstheme="minorBidi"/>
          <w:color w:val="2F5496" w:themeColor="accent1" w:themeShade="BF"/>
        </w:rPr>
        <w:t>Policy Statement</w:t>
      </w:r>
    </w:p>
    <w:p w14:paraId="2C6726B3" w14:textId="77777777" w:rsidR="0080015A" w:rsidRDefault="0080015A" w:rsidP="00F65279">
      <w:pPr>
        <w:spacing w:after="0"/>
        <w:ind w:left="-5" w:right="0"/>
      </w:pPr>
    </w:p>
    <w:p w14:paraId="4FDFFD78" w14:textId="66036C85" w:rsidR="009E6525" w:rsidRDefault="006D678F" w:rsidP="00F07A5A">
      <w:pPr>
        <w:spacing w:after="0"/>
        <w:ind w:left="-5" w:right="0"/>
      </w:pPr>
      <w:r>
        <w:t>The College</w:t>
      </w:r>
      <w:r w:rsidR="00834F36">
        <w:t xml:space="preserve"> is committed to a fair, transparent, and accessible admissions process that promotes widening participation and equal opportunity</w:t>
      </w:r>
      <w:r w:rsidR="0086378F">
        <w:t xml:space="preserve">. </w:t>
      </w:r>
      <w:r>
        <w:t xml:space="preserve"> </w:t>
      </w:r>
    </w:p>
    <w:p w14:paraId="26091678" w14:textId="008180AD" w:rsidR="0086378F" w:rsidRDefault="0086378F" w:rsidP="00F07A5A">
      <w:pPr>
        <w:spacing w:after="0"/>
        <w:ind w:left="-5" w:right="0"/>
      </w:pPr>
      <w:r>
        <w:t>Key</w:t>
      </w:r>
      <w:r w:rsidR="006D678F">
        <w:t xml:space="preserve"> principles include:</w:t>
      </w:r>
    </w:p>
    <w:p w14:paraId="2CB07B49" w14:textId="77777777" w:rsidR="0086378F" w:rsidRDefault="0086378F" w:rsidP="00F07A5A">
      <w:pPr>
        <w:pStyle w:val="ListParagraph"/>
        <w:numPr>
          <w:ilvl w:val="0"/>
          <w:numId w:val="10"/>
        </w:numPr>
        <w:spacing w:after="0"/>
        <w:ind w:right="0"/>
      </w:pPr>
      <w:r>
        <w:t>Transparent, applicant-focused admissions processes</w:t>
      </w:r>
    </w:p>
    <w:p w14:paraId="4D571FDD" w14:textId="77777777" w:rsidR="0086378F" w:rsidRDefault="0086378F" w:rsidP="00F07A5A">
      <w:pPr>
        <w:pStyle w:val="ListParagraph"/>
        <w:numPr>
          <w:ilvl w:val="0"/>
          <w:numId w:val="10"/>
        </w:numPr>
        <w:spacing w:after="0"/>
        <w:ind w:right="0"/>
      </w:pPr>
      <w:r>
        <w:t>Consideration of all applications received by published deadlines</w:t>
      </w:r>
    </w:p>
    <w:p w14:paraId="77E805ED" w14:textId="4DE0221D" w:rsidR="00602959" w:rsidRDefault="0086378F" w:rsidP="00F07A5A">
      <w:pPr>
        <w:pStyle w:val="ListParagraph"/>
        <w:numPr>
          <w:ilvl w:val="0"/>
          <w:numId w:val="10"/>
        </w:numPr>
        <w:spacing w:after="0"/>
        <w:ind w:right="0"/>
      </w:pPr>
      <w:r>
        <w:t xml:space="preserve">Recognition of a wide range of </w:t>
      </w:r>
      <w:r w:rsidR="00602959">
        <w:t>qualifications</w:t>
      </w:r>
      <w:r>
        <w:t xml:space="preserve">, including non-traditional </w:t>
      </w:r>
      <w:r w:rsidR="00602959">
        <w:t>and international</w:t>
      </w:r>
    </w:p>
    <w:p w14:paraId="0548C3F1" w14:textId="77777777" w:rsidR="00A95AB5" w:rsidRDefault="00602959" w:rsidP="00F07A5A">
      <w:pPr>
        <w:pStyle w:val="ListParagraph"/>
        <w:numPr>
          <w:ilvl w:val="0"/>
          <w:numId w:val="10"/>
        </w:numPr>
        <w:spacing w:after="0"/>
        <w:ind w:right="0"/>
      </w:pPr>
      <w:r>
        <w:t>Consideration of relevant skills, experience</w:t>
      </w:r>
      <w:r w:rsidR="00A95AB5">
        <w:t>, and prior learning</w:t>
      </w:r>
    </w:p>
    <w:p w14:paraId="544702C4" w14:textId="77777777" w:rsidR="00A95AB5" w:rsidRDefault="00A95AB5" w:rsidP="00F07A5A">
      <w:pPr>
        <w:pStyle w:val="ListParagraph"/>
        <w:numPr>
          <w:ilvl w:val="0"/>
          <w:numId w:val="10"/>
        </w:numPr>
        <w:spacing w:after="0"/>
        <w:ind w:right="0"/>
      </w:pPr>
      <w:r>
        <w:t>Fair handling of complaints, appeals and reviews</w:t>
      </w:r>
    </w:p>
    <w:p w14:paraId="1713C11E" w14:textId="510C88E6" w:rsidR="0080015A" w:rsidRDefault="00A95AB5" w:rsidP="00F07A5A">
      <w:pPr>
        <w:pStyle w:val="ListParagraph"/>
        <w:numPr>
          <w:ilvl w:val="0"/>
          <w:numId w:val="10"/>
        </w:numPr>
        <w:spacing w:after="0"/>
        <w:ind w:right="0"/>
      </w:pPr>
      <w:r>
        <w:t>Consistent application of this policy across the College</w:t>
      </w:r>
      <w:r w:rsidR="00602959">
        <w:t xml:space="preserve"> </w:t>
      </w:r>
    </w:p>
    <w:p w14:paraId="45671DCB" w14:textId="77777777" w:rsidR="00567441" w:rsidRDefault="00567441" w:rsidP="00F65279">
      <w:pPr>
        <w:pStyle w:val="Heading1"/>
        <w:ind w:left="0" w:firstLine="0"/>
        <w:rPr>
          <w:rFonts w:asciiTheme="minorHAnsi" w:hAnsiTheme="minorHAnsi" w:cstheme="minorHAnsi"/>
        </w:rPr>
      </w:pPr>
    </w:p>
    <w:p w14:paraId="4FDFFD80" w14:textId="2E7B25D5" w:rsidR="009E6525" w:rsidRPr="00F07A5A" w:rsidRDefault="2CBB5499" w:rsidP="00F65279">
      <w:pPr>
        <w:pStyle w:val="Heading1"/>
        <w:ind w:left="0" w:firstLine="0"/>
        <w:rPr>
          <w:rFonts w:asciiTheme="minorHAnsi" w:eastAsiaTheme="minorEastAsia" w:hAnsiTheme="minorHAnsi" w:cstheme="minorBidi"/>
          <w:color w:val="2F5496" w:themeColor="accent1" w:themeShade="BF"/>
        </w:rPr>
      </w:pPr>
      <w:r w:rsidRPr="00F07A5A">
        <w:rPr>
          <w:rFonts w:asciiTheme="minorHAnsi" w:hAnsiTheme="minorHAnsi" w:cstheme="minorHAnsi"/>
        </w:rPr>
        <w:t>4</w:t>
      </w:r>
      <w:r w:rsidRPr="00F65279">
        <w:rPr>
          <w:rFonts w:asciiTheme="minorHAnsi" w:eastAsiaTheme="minorEastAsia" w:hAnsiTheme="minorHAnsi" w:cstheme="minorHAnsi"/>
        </w:rPr>
        <w:t>.</w:t>
      </w:r>
      <w:r w:rsidR="00F65279" w:rsidRPr="00F65279">
        <w:rPr>
          <w:rFonts w:asciiTheme="minorHAnsi" w:eastAsiaTheme="minorEastAsia" w:hAnsiTheme="minorHAnsi" w:cstheme="minorHAnsi"/>
          <w:color w:val="2F5496" w:themeColor="accent1" w:themeShade="BF"/>
        </w:rPr>
        <w:t xml:space="preserve"> </w:t>
      </w:r>
      <w:r w:rsidR="6A6CA678" w:rsidRPr="00F07A5A">
        <w:rPr>
          <w:rFonts w:asciiTheme="minorHAnsi" w:eastAsiaTheme="minorEastAsia" w:hAnsiTheme="minorHAnsi" w:cstheme="minorHAnsi"/>
          <w:color w:val="2F5496" w:themeColor="accent1" w:themeShade="BF"/>
        </w:rPr>
        <w:t>Definitions</w:t>
      </w:r>
    </w:p>
    <w:p w14:paraId="39DAF9EC" w14:textId="301827C0" w:rsidR="2CBB5499" w:rsidRDefault="2CBB5499" w:rsidP="00F07A5A">
      <w:pPr>
        <w:spacing w:after="0"/>
      </w:pPr>
    </w:p>
    <w:tbl>
      <w:tblPr>
        <w:tblStyle w:val="TableGrid"/>
        <w:tblW w:w="0" w:type="auto"/>
        <w:tblInd w:w="10" w:type="dxa"/>
        <w:tblLook w:val="06A0" w:firstRow="1" w:lastRow="0" w:firstColumn="1" w:lastColumn="0" w:noHBand="1" w:noVBand="1"/>
      </w:tblPr>
      <w:tblGrid>
        <w:gridCol w:w="4504"/>
        <w:gridCol w:w="4506"/>
      </w:tblGrid>
      <w:tr w:rsidR="2CBB5499" w14:paraId="0D25686A" w14:textId="77777777" w:rsidTr="2CBB5499">
        <w:trPr>
          <w:trHeight w:val="300"/>
        </w:trPr>
        <w:tc>
          <w:tcPr>
            <w:tcW w:w="4515" w:type="dxa"/>
          </w:tcPr>
          <w:p w14:paraId="6B45D164" w14:textId="3BDE6A1E" w:rsidR="75EF6AB8" w:rsidRDefault="75EF6AB8" w:rsidP="00F07A5A">
            <w:pPr>
              <w:spacing w:after="0"/>
            </w:pPr>
            <w:r>
              <w:t>UCAS</w:t>
            </w:r>
          </w:p>
        </w:tc>
        <w:tc>
          <w:tcPr>
            <w:tcW w:w="4515" w:type="dxa"/>
          </w:tcPr>
          <w:p w14:paraId="445F34D8" w14:textId="25CC5F4A" w:rsidR="5AE28057" w:rsidRDefault="5AE28057" w:rsidP="00F07A5A">
            <w:pPr>
              <w:spacing w:after="0"/>
            </w:pPr>
            <w:r>
              <w:t>Universities</w:t>
            </w:r>
            <w:r w:rsidR="3F8D2478">
              <w:t xml:space="preserve"> and Colleges Admissions Service</w:t>
            </w:r>
          </w:p>
        </w:tc>
      </w:tr>
      <w:tr w:rsidR="2CBB5499" w14:paraId="588CAF0F" w14:textId="77777777" w:rsidTr="2CBB5499">
        <w:trPr>
          <w:trHeight w:val="300"/>
        </w:trPr>
        <w:tc>
          <w:tcPr>
            <w:tcW w:w="4515" w:type="dxa"/>
          </w:tcPr>
          <w:p w14:paraId="4C3353A3" w14:textId="145E9225" w:rsidR="75E17269" w:rsidRDefault="75E17269" w:rsidP="00F07A5A">
            <w:pPr>
              <w:spacing w:after="0"/>
            </w:pPr>
            <w:r>
              <w:t>HEI</w:t>
            </w:r>
          </w:p>
        </w:tc>
        <w:tc>
          <w:tcPr>
            <w:tcW w:w="4515" w:type="dxa"/>
          </w:tcPr>
          <w:p w14:paraId="5C99B2C2" w14:textId="62FF6712" w:rsidR="75E17269" w:rsidRDefault="75E17269" w:rsidP="00F07A5A">
            <w:pPr>
              <w:spacing w:after="0"/>
            </w:pPr>
            <w:r>
              <w:t xml:space="preserve">Higher Education Institute </w:t>
            </w:r>
          </w:p>
        </w:tc>
      </w:tr>
      <w:tr w:rsidR="2CBB5499" w14:paraId="6F053BD8" w14:textId="77777777" w:rsidTr="2CBB5499">
        <w:trPr>
          <w:trHeight w:val="300"/>
        </w:trPr>
        <w:tc>
          <w:tcPr>
            <w:tcW w:w="4515" w:type="dxa"/>
          </w:tcPr>
          <w:p w14:paraId="4D5C9DAE" w14:textId="3A5C838D" w:rsidR="75EF6AB8" w:rsidRDefault="75EF6AB8" w:rsidP="00F07A5A">
            <w:pPr>
              <w:spacing w:after="0"/>
            </w:pPr>
            <w:r>
              <w:t>DfE</w:t>
            </w:r>
          </w:p>
        </w:tc>
        <w:tc>
          <w:tcPr>
            <w:tcW w:w="4515" w:type="dxa"/>
          </w:tcPr>
          <w:p w14:paraId="7507C9EB" w14:textId="14C10A95" w:rsidR="729F67A2" w:rsidRDefault="729F67A2" w:rsidP="00F07A5A">
            <w:pPr>
              <w:spacing w:after="0"/>
            </w:pPr>
            <w:r>
              <w:t>Department for Education</w:t>
            </w:r>
          </w:p>
        </w:tc>
      </w:tr>
      <w:tr w:rsidR="2CBB5499" w14:paraId="6DBFA6F8" w14:textId="77777777" w:rsidTr="2CBB5499">
        <w:trPr>
          <w:trHeight w:val="300"/>
        </w:trPr>
        <w:tc>
          <w:tcPr>
            <w:tcW w:w="4515" w:type="dxa"/>
          </w:tcPr>
          <w:p w14:paraId="2F426967" w14:textId="5FCC39E9" w:rsidR="75EF6AB8" w:rsidRDefault="75EF6AB8" w:rsidP="00F07A5A">
            <w:pPr>
              <w:spacing w:after="0"/>
            </w:pPr>
            <w:r>
              <w:t>SPA</w:t>
            </w:r>
          </w:p>
        </w:tc>
        <w:tc>
          <w:tcPr>
            <w:tcW w:w="4515" w:type="dxa"/>
          </w:tcPr>
          <w:p w14:paraId="4E75F06A" w14:textId="76E814E2" w:rsidR="3D0E999C" w:rsidRDefault="3D0E999C" w:rsidP="00F07A5A">
            <w:pPr>
              <w:spacing w:after="0"/>
            </w:pPr>
            <w:r>
              <w:t>Supporting Professional Admissions</w:t>
            </w:r>
          </w:p>
        </w:tc>
      </w:tr>
      <w:tr w:rsidR="2CBB5499" w14:paraId="0FE9F703" w14:textId="77777777" w:rsidTr="2CBB5499">
        <w:trPr>
          <w:trHeight w:val="300"/>
        </w:trPr>
        <w:tc>
          <w:tcPr>
            <w:tcW w:w="4515" w:type="dxa"/>
          </w:tcPr>
          <w:p w14:paraId="583FEB2F" w14:textId="20FE895C" w:rsidR="3D0E999C" w:rsidRDefault="3D0E999C" w:rsidP="00F07A5A">
            <w:pPr>
              <w:spacing w:after="0"/>
            </w:pPr>
            <w:r>
              <w:t>ELT</w:t>
            </w:r>
          </w:p>
        </w:tc>
        <w:tc>
          <w:tcPr>
            <w:tcW w:w="4515" w:type="dxa"/>
          </w:tcPr>
          <w:p w14:paraId="22815E76" w14:textId="083B64AC" w:rsidR="3D0E999C" w:rsidRDefault="3D0E999C" w:rsidP="00F07A5A">
            <w:pPr>
              <w:spacing w:after="0"/>
            </w:pPr>
            <w:r>
              <w:t>Executive Leadership Team</w:t>
            </w:r>
          </w:p>
        </w:tc>
      </w:tr>
      <w:tr w:rsidR="2CBB5499" w14:paraId="440ADD37" w14:textId="77777777" w:rsidTr="2CBB5499">
        <w:trPr>
          <w:trHeight w:val="300"/>
        </w:trPr>
        <w:tc>
          <w:tcPr>
            <w:tcW w:w="4515" w:type="dxa"/>
          </w:tcPr>
          <w:p w14:paraId="05B2C055" w14:textId="36F743FB" w:rsidR="2DB7C229" w:rsidRDefault="2DB7C229" w:rsidP="00F07A5A">
            <w:pPr>
              <w:spacing w:after="0"/>
            </w:pPr>
            <w:r>
              <w:t>DBS</w:t>
            </w:r>
          </w:p>
        </w:tc>
        <w:tc>
          <w:tcPr>
            <w:tcW w:w="4515" w:type="dxa"/>
          </w:tcPr>
          <w:p w14:paraId="2F9C6ABA" w14:textId="551FEF07" w:rsidR="2DB7C229" w:rsidRDefault="2DB7C229" w:rsidP="00F07A5A">
            <w:pPr>
              <w:spacing w:after="0"/>
            </w:pPr>
            <w:r>
              <w:t>Disclosure and Barring Service</w:t>
            </w:r>
          </w:p>
        </w:tc>
      </w:tr>
      <w:tr w:rsidR="2CBB5499" w14:paraId="5B8B2F67" w14:textId="77777777" w:rsidTr="2CBB5499">
        <w:trPr>
          <w:trHeight w:val="300"/>
        </w:trPr>
        <w:tc>
          <w:tcPr>
            <w:tcW w:w="4515" w:type="dxa"/>
          </w:tcPr>
          <w:p w14:paraId="14609FE3" w14:textId="517B39EE" w:rsidR="36194E87" w:rsidRDefault="36194E87" w:rsidP="00F07A5A">
            <w:pPr>
              <w:spacing w:after="0"/>
            </w:pPr>
            <w:r>
              <w:t>DSA</w:t>
            </w:r>
          </w:p>
        </w:tc>
        <w:tc>
          <w:tcPr>
            <w:tcW w:w="4515" w:type="dxa"/>
          </w:tcPr>
          <w:p w14:paraId="37C514F3" w14:textId="7A6E3117" w:rsidR="36194E87" w:rsidRDefault="36194E87" w:rsidP="00F07A5A">
            <w:pPr>
              <w:spacing w:after="0"/>
            </w:pPr>
            <w:r>
              <w:t>Disabled Students Allowance</w:t>
            </w:r>
          </w:p>
        </w:tc>
      </w:tr>
      <w:tr w:rsidR="2CBB5499" w14:paraId="1EF9A413" w14:textId="77777777" w:rsidTr="2CBB5499">
        <w:trPr>
          <w:trHeight w:val="300"/>
        </w:trPr>
        <w:tc>
          <w:tcPr>
            <w:tcW w:w="4515" w:type="dxa"/>
          </w:tcPr>
          <w:p w14:paraId="7F058385" w14:textId="60F1FEB2" w:rsidR="36194E87" w:rsidRDefault="36194E87" w:rsidP="00F07A5A">
            <w:pPr>
              <w:spacing w:after="0"/>
            </w:pPr>
            <w:r>
              <w:t>QIA</w:t>
            </w:r>
          </w:p>
        </w:tc>
        <w:tc>
          <w:tcPr>
            <w:tcW w:w="4515" w:type="dxa"/>
          </w:tcPr>
          <w:p w14:paraId="1FA1C6B2" w14:textId="30EF5358" w:rsidR="36194E87" w:rsidRDefault="36194E87" w:rsidP="00F07A5A">
            <w:pPr>
              <w:spacing w:after="0"/>
            </w:pPr>
            <w:r>
              <w:t>Office of the Independent Adjudicator for Higher Education</w:t>
            </w:r>
          </w:p>
        </w:tc>
      </w:tr>
    </w:tbl>
    <w:p w14:paraId="0165AF6A" w14:textId="5C0005F8" w:rsidR="2CBB5499" w:rsidRDefault="2CBB5499" w:rsidP="00F07A5A">
      <w:pPr>
        <w:spacing w:after="0"/>
      </w:pPr>
    </w:p>
    <w:p w14:paraId="278C37FC" w14:textId="5364214D" w:rsidR="00044947" w:rsidRDefault="00044947" w:rsidP="00F07A5A">
      <w:pPr>
        <w:spacing w:after="0"/>
        <w:rPr>
          <w:rFonts w:asciiTheme="minorHAnsi" w:hAnsiTheme="minorHAnsi" w:cstheme="minorHAnsi"/>
          <w:b/>
          <w:bCs/>
          <w:color w:val="2F5496" w:themeColor="accent1" w:themeShade="BF"/>
          <w:sz w:val="28"/>
          <w:szCs w:val="28"/>
        </w:rPr>
      </w:pPr>
      <w:r w:rsidRPr="00F07A5A">
        <w:rPr>
          <w:rFonts w:asciiTheme="minorHAnsi" w:hAnsiTheme="minorHAnsi" w:cstheme="minorHAnsi"/>
          <w:b/>
          <w:bCs/>
          <w:color w:val="2F5496" w:themeColor="accent1" w:themeShade="BF"/>
          <w:sz w:val="28"/>
          <w:szCs w:val="28"/>
        </w:rPr>
        <w:t>5</w:t>
      </w:r>
      <w:r w:rsidR="00A623F1" w:rsidRPr="00F07A5A">
        <w:rPr>
          <w:rFonts w:asciiTheme="minorHAnsi" w:hAnsiTheme="minorHAnsi" w:cstheme="minorHAnsi"/>
          <w:b/>
          <w:bCs/>
          <w:color w:val="2F5496" w:themeColor="accent1" w:themeShade="BF"/>
          <w:sz w:val="28"/>
          <w:szCs w:val="28"/>
        </w:rPr>
        <w:t>. Roles and Responsibilities</w:t>
      </w:r>
    </w:p>
    <w:p w14:paraId="343D20B9" w14:textId="5B2FD107" w:rsidR="0080015A" w:rsidRPr="00F07A5A" w:rsidRDefault="0092022F" w:rsidP="00F07A5A">
      <w:pPr>
        <w:spacing w:after="0"/>
        <w:rPr>
          <w:rFonts w:asciiTheme="minorHAnsi" w:hAnsiTheme="minorHAnsi" w:cstheme="minorBidi"/>
          <w:color w:val="auto"/>
        </w:rPr>
      </w:pPr>
      <w:r w:rsidRPr="00F07A5A">
        <w:rPr>
          <w:rFonts w:asciiTheme="minorHAnsi" w:hAnsiTheme="minorHAnsi" w:cstheme="minorHAnsi"/>
          <w:b/>
          <w:bCs/>
          <w:color w:val="2F5496" w:themeColor="accent1" w:themeShade="BF"/>
          <w:sz w:val="28"/>
          <w:szCs w:val="28"/>
        </w:rPr>
        <w:t>5.1 Principal and Senior Leaders</w:t>
      </w:r>
    </w:p>
    <w:p w14:paraId="499E22D5" w14:textId="0C2FDFFE" w:rsidR="00276644" w:rsidRPr="00F07A5A" w:rsidRDefault="00276644" w:rsidP="00872AB4">
      <w:pPr>
        <w:pStyle w:val="ListParagraph"/>
        <w:numPr>
          <w:ilvl w:val="0"/>
          <w:numId w:val="11"/>
        </w:numPr>
        <w:spacing w:after="0"/>
        <w:rPr>
          <w:rFonts w:asciiTheme="minorHAnsi" w:hAnsiTheme="minorHAnsi" w:cstheme="minorHAnsi"/>
          <w:color w:val="auto"/>
        </w:rPr>
      </w:pPr>
      <w:r w:rsidRPr="00276644">
        <w:rPr>
          <w:rFonts w:asciiTheme="minorHAnsi" w:hAnsiTheme="minorHAnsi" w:cstheme="minorHAnsi"/>
          <w:color w:val="auto"/>
        </w:rPr>
        <w:t>Provide</w:t>
      </w:r>
      <w:r w:rsidRPr="00EC5800">
        <w:rPr>
          <w:rFonts w:asciiTheme="minorHAnsi" w:hAnsiTheme="minorHAnsi" w:cstheme="minorHAnsi"/>
          <w:color w:val="auto"/>
        </w:rPr>
        <w:t xml:space="preserve"> strategic oversight and ensure regular review and effective implementation of this policy. </w:t>
      </w:r>
    </w:p>
    <w:p w14:paraId="2E6CD9E0" w14:textId="6B20B0C0" w:rsidR="0092022F" w:rsidRDefault="0092022F" w:rsidP="00276644">
      <w:pPr>
        <w:spacing w:after="0"/>
        <w:rPr>
          <w:rFonts w:asciiTheme="minorHAnsi" w:hAnsiTheme="minorHAnsi" w:cstheme="minorHAnsi"/>
          <w:b/>
          <w:bCs/>
          <w:color w:val="2F5496" w:themeColor="accent1" w:themeShade="BF"/>
          <w:sz w:val="28"/>
          <w:szCs w:val="28"/>
        </w:rPr>
      </w:pPr>
      <w:r w:rsidRPr="00F65279">
        <w:rPr>
          <w:rFonts w:asciiTheme="minorHAnsi" w:hAnsiTheme="minorHAnsi" w:cstheme="minorHAnsi"/>
          <w:b/>
          <w:bCs/>
          <w:color w:val="2F5496" w:themeColor="accent1" w:themeShade="BF"/>
          <w:sz w:val="28"/>
          <w:szCs w:val="28"/>
        </w:rPr>
        <w:t>5.3 Staff</w:t>
      </w:r>
    </w:p>
    <w:p w14:paraId="7E2D964D" w14:textId="3BE4712B" w:rsidR="00986A7A" w:rsidRPr="00F65279" w:rsidRDefault="00DC7C0D" w:rsidP="00276644">
      <w:pPr>
        <w:pStyle w:val="ListParagraph"/>
        <w:numPr>
          <w:ilvl w:val="0"/>
          <w:numId w:val="9"/>
        </w:numPr>
        <w:spacing w:after="0"/>
        <w:rPr>
          <w:rFonts w:asciiTheme="minorHAnsi" w:hAnsiTheme="minorHAnsi" w:cstheme="minorHAnsi"/>
          <w:color w:val="auto"/>
        </w:rPr>
      </w:pPr>
      <w:r w:rsidRPr="00F65279">
        <w:rPr>
          <w:rFonts w:asciiTheme="minorHAnsi" w:hAnsiTheme="minorHAnsi" w:cstheme="minorHAnsi"/>
          <w:color w:val="auto"/>
        </w:rPr>
        <w:t xml:space="preserve">Admissions </w:t>
      </w:r>
      <w:r w:rsidR="00BA56A0" w:rsidRPr="00BA56A0">
        <w:rPr>
          <w:rFonts w:asciiTheme="minorHAnsi" w:hAnsiTheme="minorHAnsi" w:cstheme="minorHAnsi"/>
          <w:color w:val="auto"/>
        </w:rPr>
        <w:t>staff</w:t>
      </w:r>
      <w:r w:rsidR="004D18F3" w:rsidRPr="00F65279">
        <w:rPr>
          <w:rFonts w:asciiTheme="minorHAnsi" w:hAnsiTheme="minorHAnsi" w:cstheme="minorHAnsi"/>
          <w:color w:val="auto"/>
        </w:rPr>
        <w:t xml:space="preserve"> </w:t>
      </w:r>
      <w:r w:rsidR="00395FEE">
        <w:rPr>
          <w:rFonts w:asciiTheme="minorHAnsi" w:hAnsiTheme="minorHAnsi" w:cstheme="minorHAnsi"/>
          <w:color w:val="auto"/>
        </w:rPr>
        <w:t xml:space="preserve">ensure </w:t>
      </w:r>
      <w:r w:rsidR="006933E6">
        <w:rPr>
          <w:rFonts w:asciiTheme="minorHAnsi" w:hAnsiTheme="minorHAnsi" w:cstheme="minorHAnsi"/>
          <w:color w:val="auto"/>
        </w:rPr>
        <w:t>compliance with this policy and associated procedures.</w:t>
      </w:r>
    </w:p>
    <w:p w14:paraId="09FAA609" w14:textId="77777777" w:rsidR="00872AB4" w:rsidRDefault="00872AB4" w:rsidP="00276644">
      <w:pPr>
        <w:spacing w:after="0"/>
        <w:rPr>
          <w:rFonts w:asciiTheme="minorHAnsi" w:hAnsiTheme="minorHAnsi" w:cstheme="minorHAnsi"/>
          <w:b/>
          <w:bCs/>
          <w:color w:val="2F5496" w:themeColor="accent1" w:themeShade="BF"/>
          <w:sz w:val="28"/>
          <w:szCs w:val="28"/>
        </w:rPr>
      </w:pPr>
    </w:p>
    <w:p w14:paraId="5FF0094D" w14:textId="789512AE" w:rsidR="0092022F" w:rsidRDefault="0092022F" w:rsidP="00276644">
      <w:pPr>
        <w:spacing w:after="0"/>
        <w:rPr>
          <w:rFonts w:asciiTheme="minorHAnsi" w:hAnsiTheme="minorHAnsi" w:cstheme="minorHAnsi"/>
          <w:b/>
          <w:bCs/>
          <w:color w:val="2F5496" w:themeColor="accent1" w:themeShade="BF"/>
          <w:sz w:val="28"/>
          <w:szCs w:val="28"/>
        </w:rPr>
      </w:pPr>
      <w:r w:rsidRPr="00F65279">
        <w:rPr>
          <w:rFonts w:asciiTheme="minorHAnsi" w:hAnsiTheme="minorHAnsi" w:cstheme="minorHAnsi"/>
          <w:b/>
          <w:bCs/>
          <w:color w:val="2F5496" w:themeColor="accent1" w:themeShade="BF"/>
          <w:sz w:val="28"/>
          <w:szCs w:val="28"/>
        </w:rPr>
        <w:t>5.4 Students</w:t>
      </w:r>
    </w:p>
    <w:p w14:paraId="050D3581" w14:textId="1E0E56F0" w:rsidR="00044947" w:rsidRPr="00F07A5A" w:rsidRDefault="004D18F3" w:rsidP="00276644">
      <w:pPr>
        <w:pStyle w:val="ListParagraph"/>
        <w:numPr>
          <w:ilvl w:val="0"/>
          <w:numId w:val="9"/>
        </w:numPr>
        <w:spacing w:after="0"/>
        <w:rPr>
          <w:rFonts w:asciiTheme="minorHAnsi" w:hAnsiTheme="minorHAnsi" w:cstheme="minorHAnsi"/>
          <w:color w:val="auto"/>
        </w:rPr>
      </w:pPr>
      <w:r>
        <w:rPr>
          <w:rFonts w:asciiTheme="minorHAnsi" w:hAnsiTheme="minorHAnsi" w:cstheme="minorHAnsi"/>
          <w:color w:val="auto"/>
        </w:rPr>
        <w:t>Are responsible for</w:t>
      </w:r>
      <w:r w:rsidR="00BA56A0">
        <w:rPr>
          <w:rFonts w:asciiTheme="minorHAnsi" w:hAnsiTheme="minorHAnsi" w:cstheme="minorHAnsi"/>
          <w:color w:val="auto"/>
        </w:rPr>
        <w:t xml:space="preserve"> familiarising themselves with and adhering this</w:t>
      </w:r>
      <w:r>
        <w:rPr>
          <w:rFonts w:asciiTheme="minorHAnsi" w:hAnsiTheme="minorHAnsi" w:cstheme="minorHAnsi"/>
          <w:color w:val="auto"/>
        </w:rPr>
        <w:t xml:space="preserve"> policy</w:t>
      </w:r>
    </w:p>
    <w:p w14:paraId="54E3D16C" w14:textId="77777777" w:rsidR="00872AB4" w:rsidRDefault="00872AB4" w:rsidP="00276644">
      <w:pPr>
        <w:spacing w:after="0"/>
        <w:rPr>
          <w:rFonts w:asciiTheme="minorHAnsi" w:hAnsiTheme="minorHAnsi" w:cstheme="minorHAnsi"/>
          <w:b/>
          <w:bCs/>
          <w:color w:val="2F5496" w:themeColor="accent1" w:themeShade="BF"/>
          <w:sz w:val="28"/>
          <w:szCs w:val="28"/>
        </w:rPr>
      </w:pPr>
    </w:p>
    <w:p w14:paraId="24F40FB3" w14:textId="77C82942" w:rsidR="36194E87" w:rsidRPr="00F07A5A" w:rsidRDefault="00044947" w:rsidP="00276644">
      <w:pPr>
        <w:spacing w:after="0"/>
        <w:rPr>
          <w:rFonts w:asciiTheme="minorHAnsi" w:hAnsiTheme="minorHAnsi" w:cstheme="minorHAnsi"/>
          <w:b/>
          <w:bCs/>
          <w:color w:val="2F5496" w:themeColor="accent1" w:themeShade="BF"/>
          <w:sz w:val="28"/>
          <w:szCs w:val="28"/>
        </w:rPr>
      </w:pPr>
      <w:r>
        <w:rPr>
          <w:rFonts w:asciiTheme="minorHAnsi" w:hAnsiTheme="minorHAnsi" w:cstheme="minorHAnsi"/>
          <w:b/>
          <w:bCs/>
          <w:color w:val="2F5496" w:themeColor="accent1" w:themeShade="BF"/>
          <w:sz w:val="28"/>
          <w:szCs w:val="28"/>
        </w:rPr>
        <w:t>6</w:t>
      </w:r>
      <w:r w:rsidR="36194E87" w:rsidRPr="00F07A5A">
        <w:rPr>
          <w:rFonts w:asciiTheme="minorHAnsi" w:hAnsiTheme="minorHAnsi" w:cstheme="minorHAnsi"/>
          <w:b/>
          <w:bCs/>
          <w:color w:val="2F5496" w:themeColor="accent1" w:themeShade="BF"/>
          <w:sz w:val="28"/>
          <w:szCs w:val="28"/>
        </w:rPr>
        <w:t xml:space="preserve">. Procedures </w:t>
      </w:r>
    </w:p>
    <w:p w14:paraId="1298D8B6" w14:textId="2AA39985" w:rsidR="2CBB5499" w:rsidRDefault="2CBB5499" w:rsidP="00276644">
      <w:pPr>
        <w:spacing w:after="0"/>
        <w:ind w:left="0" w:firstLine="0"/>
      </w:pPr>
    </w:p>
    <w:p w14:paraId="1D973C5C" w14:textId="39EC0A72" w:rsidR="0080015A" w:rsidRDefault="00BD38C8" w:rsidP="00872AB4">
      <w:pPr>
        <w:spacing w:after="0"/>
        <w:ind w:left="-5" w:right="0"/>
        <w:rPr>
          <w:rFonts w:asciiTheme="minorHAnsi" w:hAnsiTheme="minorHAnsi" w:cstheme="minorBidi"/>
          <w:color w:val="auto"/>
        </w:rPr>
      </w:pPr>
      <w:r>
        <w:rPr>
          <w:rFonts w:asciiTheme="minorHAnsi" w:hAnsiTheme="minorHAnsi" w:cstheme="minorHAnsi"/>
          <w:b/>
          <w:bCs/>
          <w:color w:val="2F5496" w:themeColor="accent1" w:themeShade="BF"/>
          <w:sz w:val="28"/>
          <w:szCs w:val="28"/>
        </w:rPr>
        <w:t>6.1</w:t>
      </w:r>
      <w:r w:rsidR="00F461F4">
        <w:rPr>
          <w:rFonts w:asciiTheme="minorHAnsi" w:hAnsiTheme="minorHAnsi" w:cstheme="minorHAnsi"/>
          <w:b/>
          <w:bCs/>
          <w:color w:val="2F5496" w:themeColor="accent1" w:themeShade="BF"/>
          <w:sz w:val="28"/>
          <w:szCs w:val="28"/>
        </w:rPr>
        <w:t xml:space="preserve"> </w:t>
      </w:r>
      <w:r w:rsidR="6A6CA678" w:rsidRPr="00F07A5A">
        <w:rPr>
          <w:rFonts w:asciiTheme="minorHAnsi" w:hAnsiTheme="minorHAnsi" w:cstheme="minorHAnsi"/>
          <w:b/>
          <w:bCs/>
          <w:color w:val="2F5496" w:themeColor="accent1" w:themeShade="BF"/>
          <w:sz w:val="28"/>
          <w:szCs w:val="28"/>
        </w:rPr>
        <w:t>Pre-Entry Information and Guidance</w:t>
      </w:r>
    </w:p>
    <w:p w14:paraId="4CE5D581" w14:textId="0D8E0D0C" w:rsidR="006933E6" w:rsidRPr="00F07A5A" w:rsidRDefault="006933E6" w:rsidP="00F07A5A">
      <w:pPr>
        <w:spacing w:after="0"/>
        <w:ind w:left="-5" w:right="0"/>
        <w:rPr>
          <w:rFonts w:asciiTheme="minorHAnsi" w:hAnsiTheme="minorHAnsi" w:cstheme="minorHAnsi"/>
          <w:color w:val="auto"/>
        </w:rPr>
      </w:pPr>
      <w:r>
        <w:rPr>
          <w:rFonts w:asciiTheme="minorHAnsi" w:hAnsiTheme="minorHAnsi" w:cstheme="minorHAnsi"/>
          <w:color w:val="auto"/>
        </w:rPr>
        <w:t>The College provides accurate, up-to-date information on courses, entry requirements, and ad</w:t>
      </w:r>
      <w:r w:rsidR="00BB3F87">
        <w:rPr>
          <w:rFonts w:asciiTheme="minorHAnsi" w:hAnsiTheme="minorHAnsi" w:cstheme="minorHAnsi"/>
          <w:color w:val="auto"/>
        </w:rPr>
        <w:t xml:space="preserve">missions via its website, prospectus, and UCAS.  Curriculum Managers maintain accuracy; Marketing is responsible for publication. </w:t>
      </w:r>
    </w:p>
    <w:p w14:paraId="51DF0CD4" w14:textId="77777777" w:rsidR="0080015A" w:rsidRDefault="0080015A" w:rsidP="00F65279">
      <w:pPr>
        <w:pStyle w:val="Heading1"/>
        <w:ind w:left="-5"/>
        <w:rPr>
          <w:rFonts w:asciiTheme="minorHAnsi" w:eastAsiaTheme="minorEastAsia" w:hAnsiTheme="minorHAnsi" w:cstheme="minorBidi"/>
          <w:color w:val="2F5496" w:themeColor="accent1" w:themeShade="BF"/>
        </w:rPr>
      </w:pPr>
    </w:p>
    <w:p w14:paraId="4FDFFD82" w14:textId="56889C3F" w:rsidR="009E6525" w:rsidRPr="00F07A5A" w:rsidRDefault="00BD38C8" w:rsidP="00F65279">
      <w:pPr>
        <w:pStyle w:val="Heading1"/>
        <w:ind w:left="-5"/>
        <w:rPr>
          <w:rFonts w:asciiTheme="minorHAnsi" w:eastAsiaTheme="minorEastAsia" w:hAnsiTheme="minorHAnsi" w:cstheme="minorBidi"/>
          <w:color w:val="2F5496" w:themeColor="accent1" w:themeShade="BF"/>
        </w:rPr>
      </w:pPr>
      <w:r>
        <w:rPr>
          <w:rFonts w:asciiTheme="minorHAnsi" w:eastAsiaTheme="minorEastAsia" w:hAnsiTheme="minorHAnsi" w:cstheme="minorBidi"/>
          <w:color w:val="2F5496" w:themeColor="accent1" w:themeShade="BF"/>
        </w:rPr>
        <w:t>6</w:t>
      </w:r>
      <w:r w:rsidR="00F461F4">
        <w:rPr>
          <w:rFonts w:asciiTheme="minorHAnsi" w:eastAsiaTheme="minorEastAsia" w:hAnsiTheme="minorHAnsi" w:cstheme="minorBidi"/>
          <w:color w:val="2F5496" w:themeColor="accent1" w:themeShade="BF"/>
        </w:rPr>
        <w:t>.</w:t>
      </w:r>
      <w:r w:rsidR="00146216">
        <w:rPr>
          <w:rFonts w:asciiTheme="minorHAnsi" w:eastAsiaTheme="minorEastAsia" w:hAnsiTheme="minorHAnsi" w:cstheme="minorBidi"/>
          <w:color w:val="2F5496" w:themeColor="accent1" w:themeShade="BF"/>
        </w:rPr>
        <w:t>2</w:t>
      </w:r>
      <w:r w:rsidR="00F461F4">
        <w:rPr>
          <w:rFonts w:asciiTheme="minorHAnsi" w:eastAsiaTheme="minorEastAsia" w:hAnsiTheme="minorHAnsi" w:cstheme="minorBidi"/>
          <w:color w:val="2F5496" w:themeColor="accent1" w:themeShade="BF"/>
        </w:rPr>
        <w:t xml:space="preserve"> </w:t>
      </w:r>
      <w:r w:rsidR="006D678F" w:rsidRPr="00F07A5A">
        <w:rPr>
          <w:rFonts w:asciiTheme="minorHAnsi" w:eastAsiaTheme="minorEastAsia" w:hAnsiTheme="minorHAnsi" w:cstheme="minorBidi"/>
          <w:color w:val="2F5496" w:themeColor="accent1" w:themeShade="BF"/>
        </w:rPr>
        <w:t xml:space="preserve">Applications </w:t>
      </w:r>
    </w:p>
    <w:p w14:paraId="7A2443F5" w14:textId="05285CED" w:rsidR="00BB3F87" w:rsidRDefault="006D678F" w:rsidP="00872AB4">
      <w:pPr>
        <w:spacing w:after="0"/>
        <w:ind w:left="-5" w:right="0"/>
      </w:pPr>
      <w:r>
        <w:t xml:space="preserve">The correct format for applications is dependent on the type of course and mode of delivery. </w:t>
      </w:r>
    </w:p>
    <w:p w14:paraId="3A83015F" w14:textId="05828343" w:rsidR="00BB3F87" w:rsidRDefault="00BB3F87" w:rsidP="00F65279">
      <w:pPr>
        <w:pStyle w:val="ListParagraph"/>
        <w:numPr>
          <w:ilvl w:val="0"/>
          <w:numId w:val="9"/>
        </w:numPr>
        <w:spacing w:after="0"/>
        <w:ind w:right="0"/>
      </w:pPr>
      <w:r>
        <w:t>Full-time: via UCAS</w:t>
      </w:r>
      <w:r w:rsidR="003B0373">
        <w:t xml:space="preserve"> </w:t>
      </w:r>
    </w:p>
    <w:p w14:paraId="7DADD4BE" w14:textId="75921506" w:rsidR="003B0373" w:rsidRDefault="003B0373" w:rsidP="00F65279">
      <w:pPr>
        <w:pStyle w:val="ListParagraph"/>
        <w:numPr>
          <w:ilvl w:val="0"/>
          <w:numId w:val="9"/>
        </w:numPr>
        <w:spacing w:after="0"/>
        <w:ind w:right="0"/>
      </w:pPr>
      <w:r>
        <w:t xml:space="preserve">Part-time and professional: via </w:t>
      </w:r>
      <w:r w:rsidR="00276644">
        <w:t>college</w:t>
      </w:r>
      <w:r>
        <w:t xml:space="preserve"> website</w:t>
      </w:r>
    </w:p>
    <w:p w14:paraId="4624002B" w14:textId="12F0840B" w:rsidR="003B0373" w:rsidRDefault="003B0373" w:rsidP="00F65279">
      <w:pPr>
        <w:pStyle w:val="ListParagraph"/>
        <w:numPr>
          <w:ilvl w:val="0"/>
          <w:numId w:val="9"/>
        </w:numPr>
        <w:spacing w:after="0"/>
        <w:ind w:right="0"/>
      </w:pPr>
      <w:r>
        <w:t>Franchised programmes</w:t>
      </w:r>
      <w:r w:rsidR="00C815D8">
        <w:t xml:space="preserve">: via </w:t>
      </w:r>
      <w:r w:rsidR="00276644">
        <w:t>college</w:t>
      </w:r>
      <w:r w:rsidR="00C815D8">
        <w:t xml:space="preserve"> or partner university</w:t>
      </w:r>
    </w:p>
    <w:p w14:paraId="2AF218CE" w14:textId="753ED582" w:rsidR="00C815D8" w:rsidRDefault="00C815D8" w:rsidP="00F65279">
      <w:pPr>
        <w:pStyle w:val="ListParagraph"/>
        <w:numPr>
          <w:ilvl w:val="0"/>
          <w:numId w:val="9"/>
        </w:numPr>
        <w:spacing w:after="0"/>
        <w:ind w:right="0"/>
      </w:pPr>
      <w:r>
        <w:t xml:space="preserve">Internal applicants: via </w:t>
      </w:r>
      <w:r w:rsidR="007F5C47">
        <w:t>a Record of Prior Acceptance form, added directly to UCAS by College staff</w:t>
      </w:r>
    </w:p>
    <w:p w14:paraId="238BD5DE" w14:textId="12F3412C" w:rsidR="007F5C47" w:rsidRDefault="007F5C47" w:rsidP="00F07A5A">
      <w:pPr>
        <w:pStyle w:val="ListParagraph"/>
        <w:spacing w:after="0"/>
        <w:ind w:right="0" w:firstLine="0"/>
      </w:pPr>
      <w:r>
        <w:t>Application guidance is available on the College website.</w:t>
      </w:r>
    </w:p>
    <w:p w14:paraId="49DCD7E8" w14:textId="77777777" w:rsidR="0080015A" w:rsidRDefault="0080015A" w:rsidP="00F65279">
      <w:pPr>
        <w:pStyle w:val="Heading2"/>
        <w:spacing w:after="0"/>
        <w:ind w:left="-5"/>
        <w:rPr>
          <w:rFonts w:asciiTheme="minorHAnsi" w:eastAsiaTheme="minorEastAsia" w:hAnsiTheme="minorHAnsi" w:cstheme="minorBidi"/>
          <w:color w:val="2F5496" w:themeColor="accent1" w:themeShade="BF"/>
        </w:rPr>
      </w:pPr>
    </w:p>
    <w:p w14:paraId="4FDFFD95" w14:textId="15E69488" w:rsidR="009E6525" w:rsidRPr="00F07A5A" w:rsidRDefault="00BD38C8" w:rsidP="00F07A5A">
      <w:pPr>
        <w:pStyle w:val="Heading2"/>
        <w:spacing w:after="0"/>
        <w:ind w:left="-5"/>
        <w:rPr>
          <w:rFonts w:asciiTheme="minorHAnsi" w:eastAsiaTheme="minorEastAsia" w:hAnsiTheme="minorHAnsi" w:cstheme="minorBidi"/>
          <w:color w:val="2F5496" w:themeColor="accent1" w:themeShade="BF"/>
        </w:rPr>
      </w:pPr>
      <w:r>
        <w:rPr>
          <w:rFonts w:asciiTheme="minorHAnsi" w:eastAsiaTheme="minorEastAsia" w:hAnsiTheme="minorHAnsi" w:cstheme="minorBidi"/>
          <w:color w:val="2F5496" w:themeColor="accent1" w:themeShade="BF"/>
        </w:rPr>
        <w:t>6</w:t>
      </w:r>
      <w:r w:rsidR="00F461F4">
        <w:rPr>
          <w:rFonts w:asciiTheme="minorHAnsi" w:eastAsiaTheme="minorEastAsia" w:hAnsiTheme="minorHAnsi" w:cstheme="minorBidi"/>
          <w:color w:val="2F5496" w:themeColor="accent1" w:themeShade="BF"/>
        </w:rPr>
        <w:t>.</w:t>
      </w:r>
      <w:r w:rsidR="00146216">
        <w:rPr>
          <w:rFonts w:asciiTheme="minorHAnsi" w:eastAsiaTheme="minorEastAsia" w:hAnsiTheme="minorHAnsi" w:cstheme="minorBidi"/>
          <w:color w:val="2F5496" w:themeColor="accent1" w:themeShade="BF"/>
        </w:rPr>
        <w:t>3</w:t>
      </w:r>
      <w:r w:rsidR="00F461F4">
        <w:rPr>
          <w:rFonts w:asciiTheme="minorHAnsi" w:eastAsiaTheme="minorEastAsia" w:hAnsiTheme="minorHAnsi" w:cstheme="minorBidi"/>
          <w:color w:val="2F5496" w:themeColor="accent1" w:themeShade="BF"/>
        </w:rPr>
        <w:t xml:space="preserve"> </w:t>
      </w:r>
      <w:r w:rsidR="006D678F" w:rsidRPr="00F07A5A">
        <w:rPr>
          <w:rFonts w:asciiTheme="minorHAnsi" w:eastAsiaTheme="minorEastAsia" w:hAnsiTheme="minorHAnsi" w:cstheme="minorBidi"/>
          <w:color w:val="2F5496" w:themeColor="accent1" w:themeShade="BF"/>
        </w:rPr>
        <w:t xml:space="preserve">Entry requirements </w:t>
      </w:r>
    </w:p>
    <w:p w14:paraId="4FDFFD97" w14:textId="437C2185" w:rsidR="009E6525" w:rsidRDefault="00D54C84" w:rsidP="00F07A5A">
      <w:pPr>
        <w:spacing w:after="0"/>
        <w:ind w:left="-5" w:right="0"/>
      </w:pPr>
      <w:r>
        <w:t xml:space="preserve">Entry criteria are approved by ELT or agreed with partner organisations. </w:t>
      </w:r>
      <w:r w:rsidR="00791639">
        <w:t xml:space="preserve">The College uses UCAS tariff points and considers non-traditional qualifications, prior </w:t>
      </w:r>
      <w:r w:rsidR="00366C59">
        <w:t>experiential</w:t>
      </w:r>
      <w:r w:rsidR="00791639">
        <w:t xml:space="preserve"> learning</w:t>
      </w:r>
      <w:r w:rsidR="00366C59">
        <w:t xml:space="preserve">, and international qualifications. </w:t>
      </w:r>
    </w:p>
    <w:p w14:paraId="24D00D26" w14:textId="77777777" w:rsidR="0080015A" w:rsidRDefault="0080015A" w:rsidP="00F65279">
      <w:pPr>
        <w:pStyle w:val="Heading2"/>
        <w:spacing w:after="0"/>
        <w:ind w:left="-5"/>
        <w:rPr>
          <w:rFonts w:asciiTheme="minorHAnsi" w:eastAsiaTheme="minorEastAsia" w:hAnsiTheme="minorHAnsi" w:cstheme="minorBidi"/>
          <w:color w:val="2F5496" w:themeColor="accent1" w:themeShade="BF"/>
        </w:rPr>
      </w:pPr>
    </w:p>
    <w:p w14:paraId="4FDFFD98" w14:textId="74B37D05" w:rsidR="009E6525" w:rsidRPr="00F07A5A" w:rsidRDefault="00BD38C8" w:rsidP="00F07A5A">
      <w:pPr>
        <w:pStyle w:val="Heading2"/>
        <w:spacing w:after="0"/>
        <w:ind w:left="-5"/>
        <w:rPr>
          <w:rFonts w:asciiTheme="minorHAnsi" w:eastAsiaTheme="minorEastAsia" w:hAnsiTheme="minorHAnsi" w:cstheme="minorBidi"/>
          <w:color w:val="2F5496" w:themeColor="accent1" w:themeShade="BF"/>
        </w:rPr>
      </w:pPr>
      <w:r>
        <w:rPr>
          <w:rFonts w:asciiTheme="minorHAnsi" w:eastAsiaTheme="minorEastAsia" w:hAnsiTheme="minorHAnsi" w:cstheme="minorBidi"/>
          <w:color w:val="2F5496" w:themeColor="accent1" w:themeShade="BF"/>
        </w:rPr>
        <w:t>6</w:t>
      </w:r>
      <w:r w:rsidR="00F461F4">
        <w:rPr>
          <w:rFonts w:asciiTheme="minorHAnsi" w:eastAsiaTheme="minorEastAsia" w:hAnsiTheme="minorHAnsi" w:cstheme="minorBidi"/>
          <w:color w:val="2F5496" w:themeColor="accent1" w:themeShade="BF"/>
        </w:rPr>
        <w:t xml:space="preserve">.4 </w:t>
      </w:r>
      <w:r w:rsidR="006D678F" w:rsidRPr="00F07A5A">
        <w:rPr>
          <w:rFonts w:asciiTheme="minorHAnsi" w:eastAsiaTheme="minorEastAsia" w:hAnsiTheme="minorHAnsi" w:cstheme="minorBidi"/>
          <w:color w:val="2F5496" w:themeColor="accent1" w:themeShade="BF"/>
        </w:rPr>
        <w:t xml:space="preserve">Interviews </w:t>
      </w:r>
    </w:p>
    <w:p w14:paraId="4FDFFD99" w14:textId="4474F6CA" w:rsidR="009E6525" w:rsidRDefault="004554C6" w:rsidP="00F07A5A">
      <w:pPr>
        <w:spacing w:after="0"/>
        <w:ind w:left="-5" w:right="0"/>
      </w:pPr>
      <w:r>
        <w:t>Interviews may be required appropriate course placement.  These are conducted by trained staff in line with equality policies</w:t>
      </w:r>
      <w:r w:rsidR="009B7E2A">
        <w:t xml:space="preserve"> and may be held remotely where necessary. </w:t>
      </w:r>
    </w:p>
    <w:p w14:paraId="62B95CE0" w14:textId="77777777" w:rsidR="0080015A" w:rsidRDefault="0080015A" w:rsidP="00F65279">
      <w:pPr>
        <w:pStyle w:val="Heading2"/>
        <w:spacing w:after="0"/>
        <w:rPr>
          <w:rFonts w:asciiTheme="minorHAnsi" w:eastAsiaTheme="minorEastAsia" w:hAnsiTheme="minorHAnsi" w:cstheme="minorBidi"/>
          <w:color w:val="2F5496" w:themeColor="accent1" w:themeShade="BF"/>
        </w:rPr>
      </w:pPr>
    </w:p>
    <w:p w14:paraId="7C0BAD25" w14:textId="6100473A" w:rsidR="157F253B" w:rsidRPr="00F461F4" w:rsidRDefault="00BD38C8" w:rsidP="00F07A5A">
      <w:pPr>
        <w:pStyle w:val="Heading2"/>
        <w:spacing w:after="0"/>
        <w:rPr>
          <w:color w:val="2F5496" w:themeColor="accent1" w:themeShade="BF"/>
        </w:rPr>
      </w:pPr>
      <w:r>
        <w:rPr>
          <w:rFonts w:asciiTheme="minorHAnsi" w:eastAsiaTheme="minorEastAsia" w:hAnsiTheme="minorHAnsi" w:cstheme="minorBidi"/>
          <w:color w:val="2F5496" w:themeColor="accent1" w:themeShade="BF"/>
        </w:rPr>
        <w:t>6</w:t>
      </w:r>
      <w:r w:rsidR="00F461F4">
        <w:rPr>
          <w:rFonts w:asciiTheme="minorHAnsi" w:eastAsiaTheme="minorEastAsia" w:hAnsiTheme="minorHAnsi" w:cstheme="minorBidi"/>
          <w:color w:val="2F5496" w:themeColor="accent1" w:themeShade="BF"/>
        </w:rPr>
        <w:t xml:space="preserve">.5 </w:t>
      </w:r>
      <w:r w:rsidR="157F253B" w:rsidRPr="00F07A5A">
        <w:rPr>
          <w:rFonts w:asciiTheme="minorHAnsi" w:eastAsiaTheme="minorEastAsia" w:hAnsiTheme="minorHAnsi" w:cstheme="minorBidi"/>
          <w:color w:val="2F5496" w:themeColor="accent1" w:themeShade="BF"/>
        </w:rPr>
        <w:t>Declaration of criminal convictions</w:t>
      </w:r>
    </w:p>
    <w:p w14:paraId="4EFC20C4" w14:textId="344B077A" w:rsidR="00A064D4" w:rsidRDefault="004B0718" w:rsidP="00F07A5A">
      <w:pPr>
        <w:spacing w:after="0"/>
        <w:ind w:left="-5" w:right="0"/>
      </w:pPr>
      <w:r>
        <w:t>Applicants must declare relevant convictions in line with DBS guidance</w:t>
      </w:r>
      <w:r w:rsidR="00434057">
        <w:t xml:space="preserve">.  Disclosures are considered sensitively, with safeguarding as a priority.  Some programmes require enhanced DBS checks. </w:t>
      </w:r>
      <w:r w:rsidR="009637F1">
        <w:t>The College is committed to inclusion and equality of opportunity. We recognise our duties under the Rehabilitation of Offenders Act 1974 and updated in 2014. However, as the College operates on sites where there are FE, School and vulnerable adult students, safeguarding the whole student body represents our primary duty.</w:t>
      </w:r>
    </w:p>
    <w:p w14:paraId="676BACAA" w14:textId="77777777" w:rsidR="0080015A" w:rsidRDefault="0080015A" w:rsidP="00F65279">
      <w:pPr>
        <w:pStyle w:val="Heading2"/>
        <w:spacing w:after="0"/>
        <w:ind w:left="-5"/>
        <w:rPr>
          <w:rFonts w:asciiTheme="minorHAnsi" w:eastAsiaTheme="minorEastAsia" w:hAnsiTheme="minorHAnsi" w:cstheme="minorBidi"/>
          <w:color w:val="2F5496" w:themeColor="accent1" w:themeShade="BF"/>
        </w:rPr>
      </w:pPr>
    </w:p>
    <w:p w14:paraId="4FDFFD9E" w14:textId="05354383" w:rsidR="009E6525" w:rsidRPr="00F07A5A" w:rsidRDefault="00BD38C8" w:rsidP="00F07A5A">
      <w:pPr>
        <w:pStyle w:val="Heading2"/>
        <w:spacing w:after="0"/>
        <w:ind w:left="-5"/>
        <w:rPr>
          <w:rFonts w:asciiTheme="minorHAnsi" w:eastAsiaTheme="minorEastAsia" w:hAnsiTheme="minorHAnsi" w:cstheme="minorBidi"/>
          <w:color w:val="2F5496" w:themeColor="accent1" w:themeShade="BF"/>
        </w:rPr>
      </w:pPr>
      <w:r>
        <w:rPr>
          <w:rFonts w:asciiTheme="minorHAnsi" w:eastAsiaTheme="minorEastAsia" w:hAnsiTheme="minorHAnsi" w:cstheme="minorBidi"/>
          <w:color w:val="2F5496" w:themeColor="accent1" w:themeShade="BF"/>
        </w:rPr>
        <w:t>6</w:t>
      </w:r>
      <w:r w:rsidR="00F461F4">
        <w:rPr>
          <w:rFonts w:asciiTheme="minorHAnsi" w:eastAsiaTheme="minorEastAsia" w:hAnsiTheme="minorHAnsi" w:cstheme="minorBidi"/>
          <w:color w:val="2F5496" w:themeColor="accent1" w:themeShade="BF"/>
        </w:rPr>
        <w:t xml:space="preserve">.6 </w:t>
      </w:r>
      <w:r w:rsidR="006D678F" w:rsidRPr="00F07A5A">
        <w:rPr>
          <w:rFonts w:asciiTheme="minorHAnsi" w:eastAsiaTheme="minorEastAsia" w:hAnsiTheme="minorHAnsi" w:cstheme="minorBidi"/>
          <w:color w:val="2F5496" w:themeColor="accent1" w:themeShade="BF"/>
        </w:rPr>
        <w:t xml:space="preserve">Decision-making </w:t>
      </w:r>
    </w:p>
    <w:p w14:paraId="4FDFFD9F" w14:textId="507E7A12" w:rsidR="009E6525" w:rsidRDefault="00E37825" w:rsidP="00F07A5A">
      <w:pPr>
        <w:spacing w:after="0"/>
        <w:ind w:left="-5" w:right="0"/>
      </w:pPr>
      <w:r>
        <w:t xml:space="preserve">Applications are assessed by the HE </w:t>
      </w:r>
      <w:r w:rsidR="00975268">
        <w:t xml:space="preserve">Admissions team and academic staff.  Decisions </w:t>
      </w:r>
      <w:r w:rsidR="0080015A">
        <w:t>include</w:t>
      </w:r>
      <w:r w:rsidR="00975268">
        <w:t xml:space="preserve"> unconditional offer, conditional offer, </w:t>
      </w:r>
      <w:r w:rsidR="00143DB9">
        <w:t xml:space="preserve">invite to </w:t>
      </w:r>
      <w:r w:rsidR="00975268">
        <w:t xml:space="preserve">interview, or </w:t>
      </w:r>
      <w:r w:rsidR="00F65279">
        <w:t>unsuccessful.</w:t>
      </w:r>
      <w:r w:rsidR="05DF2C40">
        <w:t xml:space="preserve"> </w:t>
      </w:r>
    </w:p>
    <w:p w14:paraId="4FDFFDA2" w14:textId="6AC952FB" w:rsidR="009E6525" w:rsidRDefault="006D678F" w:rsidP="366C89C3">
      <w:pPr>
        <w:numPr>
          <w:ilvl w:val="0"/>
          <w:numId w:val="1"/>
        </w:numPr>
        <w:spacing w:after="0"/>
        <w:ind w:right="0"/>
      </w:pPr>
      <w:r>
        <w:t xml:space="preserve">Relevant vocational experience and skills </w:t>
      </w:r>
    </w:p>
    <w:p w14:paraId="4FDFFDA3" w14:textId="77777777" w:rsidR="009E6525" w:rsidRDefault="006D678F" w:rsidP="366C89C3">
      <w:pPr>
        <w:numPr>
          <w:ilvl w:val="0"/>
          <w:numId w:val="4"/>
        </w:numPr>
        <w:spacing w:after="0"/>
        <w:ind w:right="0" w:hanging="360"/>
      </w:pPr>
      <w:r>
        <w:t xml:space="preserve">Personal statement </w:t>
      </w:r>
    </w:p>
    <w:p w14:paraId="4FDFFDA4" w14:textId="77777777" w:rsidR="009E6525" w:rsidRDefault="006D678F" w:rsidP="366C89C3">
      <w:pPr>
        <w:numPr>
          <w:ilvl w:val="0"/>
          <w:numId w:val="4"/>
        </w:numPr>
        <w:spacing w:after="0"/>
        <w:ind w:right="0" w:hanging="360"/>
      </w:pPr>
      <w:r>
        <w:t xml:space="preserve">References </w:t>
      </w:r>
    </w:p>
    <w:p w14:paraId="4FDFFDA5" w14:textId="77777777" w:rsidR="009E6525" w:rsidRDefault="006D678F" w:rsidP="366C89C3">
      <w:pPr>
        <w:numPr>
          <w:ilvl w:val="0"/>
          <w:numId w:val="4"/>
        </w:numPr>
        <w:spacing w:after="0"/>
        <w:ind w:right="0" w:hanging="360"/>
      </w:pPr>
      <w:r>
        <w:t xml:space="preserve">Submitted work, where requested </w:t>
      </w:r>
    </w:p>
    <w:p w14:paraId="4FDFFDA6" w14:textId="77777777" w:rsidR="009E6525" w:rsidRDefault="006D678F" w:rsidP="366C89C3">
      <w:pPr>
        <w:numPr>
          <w:ilvl w:val="0"/>
          <w:numId w:val="4"/>
        </w:numPr>
        <w:spacing w:after="0"/>
        <w:ind w:right="0" w:hanging="360"/>
      </w:pPr>
      <w:r>
        <w:t xml:space="preserve">Performance in any written assessment </w:t>
      </w:r>
    </w:p>
    <w:p w14:paraId="4FDFFDA7" w14:textId="77777777" w:rsidR="009E6525" w:rsidRDefault="006D678F" w:rsidP="00F07A5A">
      <w:pPr>
        <w:numPr>
          <w:ilvl w:val="0"/>
          <w:numId w:val="4"/>
        </w:numPr>
        <w:spacing w:after="0"/>
        <w:ind w:right="0" w:hanging="360"/>
      </w:pPr>
      <w:r>
        <w:lastRenderedPageBreak/>
        <w:t xml:space="preserve">Performance at Interview, where required </w:t>
      </w:r>
    </w:p>
    <w:p w14:paraId="4FDFFDA8" w14:textId="653C8691" w:rsidR="009E6525" w:rsidRDefault="05DF2C40" w:rsidP="00F07A5A">
      <w:pPr>
        <w:spacing w:after="0"/>
        <w:ind w:left="-15" w:right="0" w:firstLine="0"/>
      </w:pPr>
      <w:r>
        <w:t xml:space="preserve">Decisions </w:t>
      </w:r>
      <w:r w:rsidR="72491121">
        <w:t xml:space="preserve">are </w:t>
      </w:r>
      <w:r>
        <w:t>communicated to applicants</w:t>
      </w:r>
      <w:r w:rsidR="43A19FDE">
        <w:t xml:space="preserve"> via UCAS Track (full time applicants) or </w:t>
      </w:r>
      <w:r>
        <w:t xml:space="preserve">directly from the College.  </w:t>
      </w:r>
      <w:r w:rsidR="53707C21">
        <w:t xml:space="preserve">The offer letter will set out any conditions that the applicant must meet.  </w:t>
      </w:r>
      <w:r>
        <w:t xml:space="preserve">Applicants who receive an offer should refer to the terms and conditions, sent with the offer and available on </w:t>
      </w:r>
      <w:r w:rsidR="009B0F84">
        <w:t xml:space="preserve">the College </w:t>
      </w:r>
      <w:r>
        <w:t xml:space="preserve">website. Where an application has been submitted directly to a university partner, the admission decision will come from that source.  In all cases, the College strives to make decisions as quickly as possible after application. </w:t>
      </w:r>
    </w:p>
    <w:p w14:paraId="61DBC187" w14:textId="77777777" w:rsidR="0080015A" w:rsidRDefault="0080015A" w:rsidP="0080015A">
      <w:pPr>
        <w:pStyle w:val="Heading2"/>
        <w:spacing w:after="0"/>
        <w:ind w:left="0" w:firstLine="0"/>
        <w:rPr>
          <w:rFonts w:ascii="Calibri" w:eastAsia="Calibri" w:hAnsi="Calibri" w:cs="Calibri"/>
          <w:b w:val="0"/>
          <w:color w:val="000000"/>
          <w:sz w:val="22"/>
        </w:rPr>
      </w:pPr>
    </w:p>
    <w:p w14:paraId="4FDFFDAC" w14:textId="25845C75" w:rsidR="009E6525" w:rsidRPr="00F07A5A" w:rsidRDefault="00BD38C8" w:rsidP="00F07A5A">
      <w:pPr>
        <w:pStyle w:val="Heading2"/>
        <w:spacing w:after="0"/>
        <w:ind w:left="0" w:firstLine="0"/>
        <w:rPr>
          <w:rFonts w:asciiTheme="minorHAnsi" w:eastAsiaTheme="minorEastAsia" w:hAnsiTheme="minorHAnsi" w:cstheme="minorBidi"/>
          <w:color w:val="2F5496" w:themeColor="accent1" w:themeShade="BF"/>
        </w:rPr>
      </w:pPr>
      <w:r>
        <w:rPr>
          <w:rFonts w:asciiTheme="minorHAnsi" w:eastAsiaTheme="minorEastAsia" w:hAnsiTheme="minorHAnsi" w:cstheme="minorBidi"/>
          <w:color w:val="2F5496" w:themeColor="accent1" w:themeShade="BF"/>
        </w:rPr>
        <w:t>6</w:t>
      </w:r>
      <w:r w:rsidR="00F461F4">
        <w:rPr>
          <w:rFonts w:asciiTheme="minorHAnsi" w:eastAsiaTheme="minorEastAsia" w:hAnsiTheme="minorHAnsi" w:cstheme="minorBidi"/>
          <w:color w:val="2F5496" w:themeColor="accent1" w:themeShade="BF"/>
        </w:rPr>
        <w:t xml:space="preserve">.7 </w:t>
      </w:r>
      <w:r w:rsidR="006D678F" w:rsidRPr="00F07A5A">
        <w:rPr>
          <w:rFonts w:asciiTheme="minorHAnsi" w:eastAsiaTheme="minorEastAsia" w:hAnsiTheme="minorHAnsi" w:cstheme="minorBidi"/>
          <w:color w:val="2F5496" w:themeColor="accent1" w:themeShade="BF"/>
        </w:rPr>
        <w:t xml:space="preserve">Conditional Offers </w:t>
      </w:r>
    </w:p>
    <w:p w14:paraId="4FDFFDB0" w14:textId="6517A971" w:rsidR="009E6525" w:rsidRDefault="00976B53" w:rsidP="00F65279">
      <w:pPr>
        <w:spacing w:after="0"/>
        <w:ind w:left="-5" w:right="0"/>
      </w:pPr>
      <w:r>
        <w:t xml:space="preserve">Offers are confirmed upon receipt of required </w:t>
      </w:r>
      <w:r w:rsidR="004C5BF2">
        <w:t xml:space="preserve">evidence. Failure to provide evidence may result in withdrawal.  Deferrals are considered on a case-by-case basis. </w:t>
      </w:r>
    </w:p>
    <w:p w14:paraId="79FAD6CB" w14:textId="77777777" w:rsidR="00F65279" w:rsidRDefault="00F65279" w:rsidP="00F07A5A">
      <w:pPr>
        <w:spacing w:after="0"/>
        <w:ind w:left="-5" w:right="0"/>
      </w:pPr>
    </w:p>
    <w:p w14:paraId="4FDFFDB1" w14:textId="2962FCB3" w:rsidR="009E6525" w:rsidRPr="00F07A5A" w:rsidRDefault="00BD38C8" w:rsidP="00F07A5A">
      <w:pPr>
        <w:pStyle w:val="Heading2"/>
        <w:spacing w:after="0"/>
        <w:ind w:left="-5"/>
        <w:rPr>
          <w:rFonts w:asciiTheme="minorHAnsi" w:eastAsiaTheme="minorEastAsia" w:hAnsiTheme="minorHAnsi" w:cstheme="minorBidi"/>
          <w:color w:val="2F5496" w:themeColor="accent1" w:themeShade="BF"/>
          <w:sz w:val="28"/>
          <w:szCs w:val="28"/>
        </w:rPr>
      </w:pPr>
      <w:r>
        <w:rPr>
          <w:rFonts w:asciiTheme="minorHAnsi" w:eastAsiaTheme="minorEastAsia" w:hAnsiTheme="minorHAnsi" w:cstheme="minorBidi"/>
          <w:color w:val="2F5496" w:themeColor="accent1" w:themeShade="BF"/>
          <w:sz w:val="28"/>
          <w:szCs w:val="28"/>
        </w:rPr>
        <w:t>6</w:t>
      </w:r>
      <w:r w:rsidR="00F461F4">
        <w:rPr>
          <w:rFonts w:asciiTheme="minorHAnsi" w:eastAsiaTheme="minorEastAsia" w:hAnsiTheme="minorHAnsi" w:cstheme="minorBidi"/>
          <w:color w:val="2F5496" w:themeColor="accent1" w:themeShade="BF"/>
          <w:sz w:val="28"/>
          <w:szCs w:val="28"/>
        </w:rPr>
        <w:t xml:space="preserve">.8 </w:t>
      </w:r>
      <w:r w:rsidR="006D678F" w:rsidRPr="00F07A5A">
        <w:rPr>
          <w:rFonts w:asciiTheme="minorHAnsi" w:eastAsiaTheme="minorEastAsia" w:hAnsiTheme="minorHAnsi" w:cstheme="minorBidi"/>
          <w:color w:val="2F5496" w:themeColor="accent1" w:themeShade="BF"/>
          <w:sz w:val="28"/>
          <w:szCs w:val="28"/>
        </w:rPr>
        <w:t xml:space="preserve">Plagiarism </w:t>
      </w:r>
    </w:p>
    <w:p w14:paraId="4FDFFDB2" w14:textId="43779CB0" w:rsidR="009E6525" w:rsidRDefault="004C5BF2" w:rsidP="00F65279">
      <w:pPr>
        <w:spacing w:after="0"/>
        <w:ind w:left="-5" w:right="0"/>
      </w:pPr>
      <w:r>
        <w:t xml:space="preserve">Applications containing plagiarised of AI-generated personal statements may be rejected or withdrawn. </w:t>
      </w:r>
      <w:r w:rsidR="006D678F">
        <w:t xml:space="preserve"> </w:t>
      </w:r>
    </w:p>
    <w:p w14:paraId="1CE70487" w14:textId="77777777" w:rsidR="00F65279" w:rsidRDefault="00F65279" w:rsidP="00F07A5A">
      <w:pPr>
        <w:spacing w:after="0"/>
        <w:ind w:left="-5" w:right="0"/>
      </w:pPr>
    </w:p>
    <w:p w14:paraId="4FDFFDB3" w14:textId="6A2B5850" w:rsidR="009E6525" w:rsidRPr="00F07A5A" w:rsidRDefault="00BD38C8" w:rsidP="00F07A5A">
      <w:pPr>
        <w:pStyle w:val="Heading2"/>
        <w:spacing w:after="0"/>
        <w:ind w:left="-5"/>
        <w:rPr>
          <w:rFonts w:asciiTheme="minorHAnsi" w:eastAsiaTheme="minorEastAsia" w:hAnsiTheme="minorHAnsi" w:cstheme="minorBidi"/>
          <w:color w:val="2F5496" w:themeColor="accent1" w:themeShade="BF"/>
          <w:sz w:val="28"/>
          <w:szCs w:val="28"/>
        </w:rPr>
      </w:pPr>
      <w:r>
        <w:rPr>
          <w:rFonts w:asciiTheme="minorHAnsi" w:eastAsiaTheme="minorEastAsia" w:hAnsiTheme="minorHAnsi" w:cstheme="minorBidi"/>
          <w:color w:val="2F5496" w:themeColor="accent1" w:themeShade="BF"/>
          <w:sz w:val="28"/>
          <w:szCs w:val="28"/>
        </w:rPr>
        <w:t>6</w:t>
      </w:r>
      <w:r w:rsidR="00F461F4">
        <w:rPr>
          <w:rFonts w:asciiTheme="minorHAnsi" w:eastAsiaTheme="minorEastAsia" w:hAnsiTheme="minorHAnsi" w:cstheme="minorBidi"/>
          <w:color w:val="2F5496" w:themeColor="accent1" w:themeShade="BF"/>
          <w:sz w:val="28"/>
          <w:szCs w:val="28"/>
        </w:rPr>
        <w:t xml:space="preserve">.9 </w:t>
      </w:r>
      <w:r w:rsidR="006D678F" w:rsidRPr="00F07A5A">
        <w:rPr>
          <w:rFonts w:asciiTheme="minorHAnsi" w:eastAsiaTheme="minorEastAsia" w:hAnsiTheme="minorHAnsi" w:cstheme="minorBidi"/>
          <w:color w:val="2F5496" w:themeColor="accent1" w:themeShade="BF"/>
          <w:sz w:val="28"/>
          <w:szCs w:val="28"/>
        </w:rPr>
        <w:t xml:space="preserve">Dishonesty </w:t>
      </w:r>
    </w:p>
    <w:p w14:paraId="4FDFFDB4" w14:textId="7322957E" w:rsidR="009E6525" w:rsidRDefault="00CE18B8" w:rsidP="00F65279">
      <w:pPr>
        <w:spacing w:after="0"/>
        <w:ind w:left="-5" w:right="0"/>
      </w:pPr>
      <w:r>
        <w:t>Fraudulent</w:t>
      </w:r>
      <w:r w:rsidR="004C5BF2">
        <w:t xml:space="preserve"> or misleading </w:t>
      </w:r>
      <w:r>
        <w:t xml:space="preserve">information may result in withdrawal of application or offer. </w:t>
      </w:r>
    </w:p>
    <w:p w14:paraId="2DA05723" w14:textId="77777777" w:rsidR="00F65279" w:rsidRDefault="00F65279" w:rsidP="00F07A5A">
      <w:pPr>
        <w:spacing w:after="0"/>
        <w:ind w:left="-5" w:right="0"/>
      </w:pPr>
    </w:p>
    <w:p w14:paraId="4FDFFDB5" w14:textId="1D6609C6" w:rsidR="009E6525" w:rsidRPr="00F07A5A" w:rsidRDefault="009D3FEF" w:rsidP="00F07A5A">
      <w:pPr>
        <w:pStyle w:val="Heading2"/>
        <w:spacing w:after="0"/>
        <w:ind w:left="-5"/>
        <w:rPr>
          <w:rFonts w:asciiTheme="minorHAnsi" w:eastAsiaTheme="minorEastAsia" w:hAnsiTheme="minorHAnsi" w:cstheme="minorBidi"/>
          <w:szCs w:val="26"/>
        </w:rPr>
      </w:pPr>
      <w:r>
        <w:rPr>
          <w:rFonts w:asciiTheme="minorHAnsi" w:eastAsiaTheme="minorEastAsia" w:hAnsiTheme="minorHAnsi" w:cstheme="minorBidi"/>
          <w:color w:val="2F5496" w:themeColor="accent1" w:themeShade="BF"/>
          <w:szCs w:val="26"/>
        </w:rPr>
        <w:t xml:space="preserve">7.0 </w:t>
      </w:r>
      <w:r w:rsidR="006D678F" w:rsidRPr="00F07A5A">
        <w:rPr>
          <w:rFonts w:asciiTheme="minorHAnsi" w:eastAsiaTheme="minorEastAsia" w:hAnsiTheme="minorHAnsi" w:cstheme="minorBidi"/>
          <w:color w:val="2F5496" w:themeColor="accent1" w:themeShade="BF"/>
          <w:szCs w:val="26"/>
        </w:rPr>
        <w:t xml:space="preserve">Applicants with health, disability or other additional learning support requirements </w:t>
      </w:r>
    </w:p>
    <w:p w14:paraId="5EAAFFBE" w14:textId="0D981051" w:rsidR="00276644" w:rsidRDefault="00CE18B8" w:rsidP="00F07A5A">
      <w:pPr>
        <w:spacing w:after="0"/>
        <w:ind w:left="-5" w:right="0"/>
        <w:rPr>
          <w:rFonts w:asciiTheme="minorHAnsi" w:hAnsiTheme="minorHAnsi" w:cstheme="minorHAnsi"/>
          <w:bCs/>
          <w:color w:val="auto"/>
        </w:rPr>
      </w:pPr>
      <w:r>
        <w:t xml:space="preserve">The College is committed to inclusivity and complies with the Equality Act 2010.  Reasonable adjustments are made throughout the admissions process. </w:t>
      </w:r>
    </w:p>
    <w:p w14:paraId="73C38482" w14:textId="5358245C" w:rsidR="00276644" w:rsidRDefault="00E3520D" w:rsidP="00276644">
      <w:pPr>
        <w:pStyle w:val="Heading2"/>
        <w:spacing w:after="0"/>
        <w:ind w:left="0" w:firstLine="0"/>
        <w:rPr>
          <w:rFonts w:asciiTheme="minorHAnsi" w:hAnsiTheme="minorHAnsi" w:cstheme="minorHAnsi"/>
          <w:b w:val="0"/>
          <w:bCs/>
          <w:color w:val="auto"/>
          <w:sz w:val="22"/>
        </w:rPr>
      </w:pPr>
      <w:r w:rsidRPr="00F07A5A">
        <w:rPr>
          <w:rFonts w:asciiTheme="minorHAnsi" w:hAnsiTheme="minorHAnsi" w:cstheme="minorHAnsi"/>
          <w:b w:val="0"/>
          <w:bCs/>
          <w:color w:val="auto"/>
          <w:sz w:val="22"/>
        </w:rPr>
        <w:t xml:space="preserve">For support at interview, applicants with additional needs should contact the </w:t>
      </w:r>
      <w:r w:rsidRPr="00F07A5A">
        <w:rPr>
          <w:rFonts w:asciiTheme="minorHAnsi" w:hAnsiTheme="minorHAnsi" w:cstheme="minorHAnsi"/>
          <w:b w:val="0"/>
          <w:bCs/>
          <w:color w:val="auto"/>
          <w:sz w:val="22"/>
          <w:u w:val="single" w:color="000000"/>
        </w:rPr>
        <w:t>hehub@howcollege.ac.uk</w:t>
      </w:r>
      <w:r w:rsidRPr="00F07A5A">
        <w:rPr>
          <w:rFonts w:asciiTheme="minorHAnsi" w:hAnsiTheme="minorHAnsi" w:cstheme="minorHAnsi"/>
          <w:b w:val="0"/>
          <w:bCs/>
          <w:color w:val="auto"/>
          <w:sz w:val="22"/>
        </w:rPr>
        <w:t xml:space="preserve"> with evidence of their disability and what support will be required at interview. </w:t>
      </w:r>
    </w:p>
    <w:p w14:paraId="745BECE0" w14:textId="7815B4BC" w:rsidR="00F65279" w:rsidRPr="00F07A5A" w:rsidRDefault="00886868" w:rsidP="00F07A5A">
      <w:pPr>
        <w:pStyle w:val="Heading2"/>
        <w:spacing w:after="0"/>
        <w:ind w:left="0" w:firstLine="0"/>
        <w:rPr>
          <w:rFonts w:asciiTheme="minorHAnsi" w:hAnsiTheme="minorHAnsi" w:cstheme="minorHAnsi"/>
          <w:b w:val="0"/>
          <w:bCs/>
          <w:color w:val="auto"/>
          <w:sz w:val="22"/>
        </w:rPr>
      </w:pPr>
      <w:r w:rsidRPr="00F07A5A">
        <w:rPr>
          <w:rFonts w:asciiTheme="minorHAnsi" w:hAnsiTheme="minorHAnsi" w:cstheme="minorHAnsi"/>
          <w:b w:val="0"/>
          <w:bCs/>
          <w:color w:val="auto"/>
          <w:sz w:val="22"/>
        </w:rPr>
        <w:t>Applicants are encouraged to disclose support needs early.  Disabled Students ‘Allowance (DSA) applications should be made in advance</w:t>
      </w:r>
      <w:r w:rsidR="00B27B22" w:rsidRPr="00F07A5A">
        <w:rPr>
          <w:rFonts w:asciiTheme="minorHAnsi" w:hAnsiTheme="minorHAnsi" w:cstheme="minorHAnsi"/>
          <w:b w:val="0"/>
          <w:bCs/>
          <w:color w:val="auto"/>
          <w:sz w:val="22"/>
        </w:rPr>
        <w:t xml:space="preserve"> as an assessment </w:t>
      </w:r>
      <w:r w:rsidR="00E3520D" w:rsidRPr="00F07A5A">
        <w:rPr>
          <w:rFonts w:asciiTheme="minorHAnsi" w:hAnsiTheme="minorHAnsi" w:cstheme="minorHAnsi"/>
          <w:b w:val="0"/>
          <w:bCs/>
          <w:color w:val="auto"/>
          <w:sz w:val="22"/>
        </w:rPr>
        <w:t xml:space="preserve">of need will be undertaken by an external agency, further details can be obtained by contacting </w:t>
      </w:r>
      <w:hyperlink r:id="rId12" w:history="1">
        <w:r w:rsidR="00F65279" w:rsidRPr="00F07A5A">
          <w:rPr>
            <w:rStyle w:val="Hyperlink"/>
            <w:rFonts w:asciiTheme="minorHAnsi" w:hAnsiTheme="minorHAnsi" w:cstheme="minorHAnsi"/>
            <w:b w:val="0"/>
            <w:bCs/>
            <w:color w:val="auto"/>
            <w:sz w:val="22"/>
          </w:rPr>
          <w:t>hehub@howcollege.ac.uk</w:t>
        </w:r>
      </w:hyperlink>
      <w:r w:rsidR="00E3520D" w:rsidRPr="00F07A5A">
        <w:rPr>
          <w:rFonts w:asciiTheme="minorHAnsi" w:hAnsiTheme="minorHAnsi" w:cstheme="minorHAnsi"/>
          <w:b w:val="0"/>
          <w:bCs/>
          <w:color w:val="auto"/>
          <w:sz w:val="22"/>
        </w:rPr>
        <w:t>.</w:t>
      </w:r>
    </w:p>
    <w:p w14:paraId="7A16D104" w14:textId="77777777" w:rsidR="00F65279" w:rsidRPr="00F07A5A" w:rsidRDefault="00F65279" w:rsidP="00F65279">
      <w:pPr>
        <w:pStyle w:val="Heading2"/>
        <w:spacing w:after="0"/>
        <w:ind w:left="-5"/>
        <w:rPr>
          <w:rFonts w:asciiTheme="minorHAnsi" w:hAnsiTheme="minorHAnsi" w:cstheme="minorHAnsi"/>
          <w:b w:val="0"/>
          <w:bCs/>
          <w:color w:val="auto"/>
          <w:sz w:val="22"/>
        </w:rPr>
      </w:pPr>
    </w:p>
    <w:p w14:paraId="4FDFFDBD" w14:textId="1ACB08A1" w:rsidR="009E6525" w:rsidRPr="00F07A5A" w:rsidRDefault="009D3FEF" w:rsidP="00F07A5A">
      <w:pPr>
        <w:pStyle w:val="Heading2"/>
        <w:spacing w:after="0"/>
        <w:ind w:left="-5"/>
        <w:rPr>
          <w:rFonts w:asciiTheme="minorHAnsi" w:eastAsiaTheme="minorEastAsia" w:hAnsiTheme="minorHAnsi" w:cstheme="minorBidi"/>
          <w:color w:val="2F5496" w:themeColor="accent1" w:themeShade="BF"/>
          <w:sz w:val="28"/>
          <w:szCs w:val="28"/>
        </w:rPr>
      </w:pPr>
      <w:r>
        <w:rPr>
          <w:rFonts w:asciiTheme="minorHAnsi" w:eastAsiaTheme="minorEastAsia" w:hAnsiTheme="minorHAnsi" w:cstheme="minorBidi"/>
          <w:color w:val="2F5496" w:themeColor="accent1" w:themeShade="BF"/>
          <w:sz w:val="28"/>
          <w:szCs w:val="28"/>
        </w:rPr>
        <w:t>7</w:t>
      </w:r>
      <w:r w:rsidR="00146216">
        <w:rPr>
          <w:rFonts w:asciiTheme="minorHAnsi" w:eastAsiaTheme="minorEastAsia" w:hAnsiTheme="minorHAnsi" w:cstheme="minorBidi"/>
          <w:color w:val="2F5496" w:themeColor="accent1" w:themeShade="BF"/>
          <w:sz w:val="28"/>
          <w:szCs w:val="28"/>
        </w:rPr>
        <w:t>.</w:t>
      </w:r>
      <w:r>
        <w:rPr>
          <w:rFonts w:asciiTheme="minorHAnsi" w:eastAsiaTheme="minorEastAsia" w:hAnsiTheme="minorHAnsi" w:cstheme="minorBidi"/>
          <w:color w:val="2F5496" w:themeColor="accent1" w:themeShade="BF"/>
          <w:sz w:val="28"/>
          <w:szCs w:val="28"/>
        </w:rPr>
        <w:t>1</w:t>
      </w:r>
      <w:r w:rsidR="00146216">
        <w:rPr>
          <w:rFonts w:asciiTheme="minorHAnsi" w:eastAsiaTheme="minorEastAsia" w:hAnsiTheme="minorHAnsi" w:cstheme="minorBidi"/>
          <w:color w:val="2F5496" w:themeColor="accent1" w:themeShade="BF"/>
          <w:sz w:val="28"/>
          <w:szCs w:val="28"/>
        </w:rPr>
        <w:t xml:space="preserve"> </w:t>
      </w:r>
      <w:r w:rsidR="006D678F" w:rsidRPr="00F07A5A">
        <w:rPr>
          <w:rFonts w:asciiTheme="minorHAnsi" w:eastAsiaTheme="minorEastAsia" w:hAnsiTheme="minorHAnsi" w:cstheme="minorBidi"/>
          <w:color w:val="2F5496" w:themeColor="accent1" w:themeShade="BF"/>
          <w:sz w:val="28"/>
          <w:szCs w:val="28"/>
        </w:rPr>
        <w:t xml:space="preserve">International Students </w:t>
      </w:r>
    </w:p>
    <w:p w14:paraId="4FDFFDBE" w14:textId="2DC913A4" w:rsidR="009E6525" w:rsidRDefault="006D678F" w:rsidP="00F65279">
      <w:pPr>
        <w:spacing w:after="0"/>
        <w:ind w:left="-5" w:right="0"/>
      </w:pPr>
      <w:r>
        <w:t xml:space="preserve">The College welcomes </w:t>
      </w:r>
      <w:r w:rsidR="00E3520D">
        <w:t xml:space="preserve">international </w:t>
      </w:r>
      <w:r>
        <w:t>applications</w:t>
      </w:r>
      <w:r w:rsidR="00E3520D">
        <w:t xml:space="preserve"> in line with relevant regulations.  However, it does not currently hold a Student Sponsor Licence and cannot issue</w:t>
      </w:r>
      <w:r w:rsidR="00BC5523">
        <w:t xml:space="preserve"> Confirmation </w:t>
      </w:r>
      <w:r w:rsidR="00BC699B">
        <w:t>of</w:t>
      </w:r>
      <w:r w:rsidR="00BC5523">
        <w:t xml:space="preserve"> Acceptance</w:t>
      </w:r>
      <w:r w:rsidR="00BC699B">
        <w:t xml:space="preserve"> for Studies</w:t>
      </w:r>
      <w:r w:rsidR="00E3520D">
        <w:t xml:space="preserve"> </w:t>
      </w:r>
      <w:r w:rsidR="00BC699B">
        <w:t>(</w:t>
      </w:r>
      <w:r w:rsidR="00BC5523">
        <w:t>CAS</w:t>
      </w:r>
      <w:r w:rsidR="00BC699B">
        <w:t xml:space="preserve">) </w:t>
      </w:r>
      <w:r w:rsidR="00BC5523">
        <w:t>documentation</w:t>
      </w:r>
      <w:r w:rsidR="004E3091">
        <w:t xml:space="preserve"> a virtual document required for those students applying for a student visa</w:t>
      </w:r>
      <w:r w:rsidR="00BC5523">
        <w:t>.</w:t>
      </w:r>
      <w:r>
        <w:t xml:space="preserve"> </w:t>
      </w:r>
    </w:p>
    <w:p w14:paraId="48CB34FF" w14:textId="77777777" w:rsidR="00F65279" w:rsidRDefault="00F65279" w:rsidP="00F07A5A">
      <w:pPr>
        <w:spacing w:after="0"/>
        <w:ind w:left="-5" w:right="0"/>
      </w:pPr>
    </w:p>
    <w:p w14:paraId="7845EB99" w14:textId="3C1BE7AB" w:rsidR="00B2472D" w:rsidRPr="00F07A5A" w:rsidRDefault="009D3FEF" w:rsidP="00F07A5A">
      <w:pPr>
        <w:pStyle w:val="Heading2"/>
        <w:spacing w:after="0"/>
        <w:ind w:left="-5"/>
        <w:rPr>
          <w:rFonts w:asciiTheme="minorHAnsi" w:eastAsiaTheme="minorEastAsia" w:hAnsiTheme="minorHAnsi" w:cstheme="minorBidi"/>
          <w:color w:val="2F5496" w:themeColor="accent1" w:themeShade="BF"/>
          <w:sz w:val="28"/>
          <w:szCs w:val="28"/>
        </w:rPr>
      </w:pPr>
      <w:r>
        <w:rPr>
          <w:rFonts w:asciiTheme="minorHAnsi" w:eastAsiaTheme="minorEastAsia" w:hAnsiTheme="minorHAnsi" w:cstheme="minorBidi"/>
          <w:color w:val="2F5496" w:themeColor="accent1" w:themeShade="BF"/>
          <w:sz w:val="28"/>
          <w:szCs w:val="28"/>
        </w:rPr>
        <w:t>7</w:t>
      </w:r>
      <w:r w:rsidR="00146216">
        <w:rPr>
          <w:rFonts w:asciiTheme="minorHAnsi" w:eastAsiaTheme="minorEastAsia" w:hAnsiTheme="minorHAnsi" w:cstheme="minorBidi"/>
          <w:color w:val="2F5496" w:themeColor="accent1" w:themeShade="BF"/>
          <w:sz w:val="28"/>
          <w:szCs w:val="28"/>
        </w:rPr>
        <w:t>.</w:t>
      </w:r>
      <w:r>
        <w:rPr>
          <w:rFonts w:asciiTheme="minorHAnsi" w:eastAsiaTheme="minorEastAsia" w:hAnsiTheme="minorHAnsi" w:cstheme="minorBidi"/>
          <w:color w:val="2F5496" w:themeColor="accent1" w:themeShade="BF"/>
          <w:sz w:val="28"/>
          <w:szCs w:val="28"/>
        </w:rPr>
        <w:t>2</w:t>
      </w:r>
      <w:r w:rsidR="00146216">
        <w:rPr>
          <w:rFonts w:asciiTheme="minorHAnsi" w:eastAsiaTheme="minorEastAsia" w:hAnsiTheme="minorHAnsi" w:cstheme="minorBidi"/>
          <w:color w:val="2F5496" w:themeColor="accent1" w:themeShade="BF"/>
          <w:sz w:val="28"/>
          <w:szCs w:val="28"/>
        </w:rPr>
        <w:t xml:space="preserve"> </w:t>
      </w:r>
      <w:r w:rsidR="00B2472D" w:rsidRPr="00F07A5A">
        <w:rPr>
          <w:rFonts w:asciiTheme="minorHAnsi" w:eastAsiaTheme="minorEastAsia" w:hAnsiTheme="minorHAnsi" w:cstheme="minorBidi"/>
          <w:color w:val="2F5496" w:themeColor="accent1" w:themeShade="BF"/>
          <w:sz w:val="28"/>
          <w:szCs w:val="28"/>
        </w:rPr>
        <w:t xml:space="preserve">Enrolment </w:t>
      </w:r>
    </w:p>
    <w:p w14:paraId="4FDFFDC2" w14:textId="738CC75E" w:rsidR="009E6525" w:rsidRDefault="004E3091" w:rsidP="00F65279">
      <w:pPr>
        <w:spacing w:after="0"/>
        <w:ind w:left="0" w:right="0" w:firstLine="0"/>
      </w:pPr>
      <w:r>
        <w:t xml:space="preserve">Enrolment information is provided to applicants prior to course </w:t>
      </w:r>
      <w:r w:rsidR="00A40933">
        <w:t xml:space="preserve">start; this will be online. Attendance at induction and provision of qualification evidence are mandatory. </w:t>
      </w:r>
    </w:p>
    <w:p w14:paraId="27CD8747" w14:textId="77777777" w:rsidR="00F65279" w:rsidRDefault="00F65279" w:rsidP="00F07A5A">
      <w:pPr>
        <w:spacing w:after="0"/>
        <w:ind w:left="0" w:right="0" w:firstLine="0"/>
      </w:pPr>
    </w:p>
    <w:p w14:paraId="541AF9C6" w14:textId="06DBC1E9" w:rsidR="009E6525" w:rsidRPr="00F07A5A" w:rsidRDefault="009D3FEF" w:rsidP="00F07A5A">
      <w:pPr>
        <w:pStyle w:val="Heading2"/>
        <w:spacing w:after="0"/>
        <w:rPr>
          <w:rFonts w:asciiTheme="minorHAnsi" w:eastAsiaTheme="minorEastAsia" w:hAnsiTheme="minorHAnsi" w:cstheme="minorBidi"/>
          <w:color w:val="2F5496" w:themeColor="accent1" w:themeShade="BF"/>
          <w:sz w:val="28"/>
          <w:szCs w:val="28"/>
        </w:rPr>
      </w:pPr>
      <w:r>
        <w:rPr>
          <w:rFonts w:asciiTheme="minorHAnsi" w:eastAsiaTheme="minorEastAsia" w:hAnsiTheme="minorHAnsi" w:cstheme="minorBidi"/>
          <w:color w:val="2F5496" w:themeColor="accent1" w:themeShade="BF"/>
          <w:sz w:val="28"/>
          <w:szCs w:val="28"/>
        </w:rPr>
        <w:t>7</w:t>
      </w:r>
      <w:r w:rsidR="00585336">
        <w:rPr>
          <w:rFonts w:asciiTheme="minorHAnsi" w:eastAsiaTheme="minorEastAsia" w:hAnsiTheme="minorHAnsi" w:cstheme="minorBidi"/>
          <w:color w:val="2F5496" w:themeColor="accent1" w:themeShade="BF"/>
          <w:sz w:val="28"/>
          <w:szCs w:val="28"/>
        </w:rPr>
        <w:t>.</w:t>
      </w:r>
      <w:r>
        <w:rPr>
          <w:rFonts w:asciiTheme="minorHAnsi" w:eastAsiaTheme="minorEastAsia" w:hAnsiTheme="minorHAnsi" w:cstheme="minorBidi"/>
          <w:color w:val="2F5496" w:themeColor="accent1" w:themeShade="BF"/>
          <w:sz w:val="28"/>
          <w:szCs w:val="28"/>
        </w:rPr>
        <w:t>3</w:t>
      </w:r>
      <w:r w:rsidR="00585336">
        <w:rPr>
          <w:rFonts w:asciiTheme="minorHAnsi" w:eastAsiaTheme="minorEastAsia" w:hAnsiTheme="minorHAnsi" w:cstheme="minorBidi"/>
          <w:color w:val="2F5496" w:themeColor="accent1" w:themeShade="BF"/>
          <w:sz w:val="28"/>
          <w:szCs w:val="28"/>
        </w:rPr>
        <w:t xml:space="preserve"> </w:t>
      </w:r>
      <w:r w:rsidR="187014EC" w:rsidRPr="00F07A5A">
        <w:rPr>
          <w:rFonts w:asciiTheme="minorHAnsi" w:eastAsiaTheme="minorEastAsia" w:hAnsiTheme="minorHAnsi" w:cstheme="minorBidi"/>
          <w:color w:val="2F5496" w:themeColor="accent1" w:themeShade="BF"/>
          <w:sz w:val="28"/>
          <w:szCs w:val="28"/>
        </w:rPr>
        <w:t>Student Transfer</w:t>
      </w:r>
    </w:p>
    <w:p w14:paraId="715EFFB3" w14:textId="2CF414C4" w:rsidR="009E6525" w:rsidRDefault="00C50050" w:rsidP="00F07A5A">
      <w:pPr>
        <w:spacing w:after="0"/>
        <w:ind w:left="-5" w:right="0"/>
        <w:rPr>
          <w:highlight w:val="yellow"/>
        </w:rPr>
      </w:pPr>
      <w:r>
        <w:t>Applicants may request changes; advice is available from the HE Admissions team.  A two-week cooling-off period applies for refunds</w:t>
      </w:r>
      <w:r w:rsidR="00FB59C7">
        <w:t xml:space="preserve">.  Recognition of Prior Learning (RPL) may allow advanced entry or module exemption, subject to partner approval. </w:t>
      </w:r>
    </w:p>
    <w:p w14:paraId="4FDFFDC3" w14:textId="0A6D95E7" w:rsidR="009E6525" w:rsidRPr="00F07A5A" w:rsidRDefault="009D3FEF" w:rsidP="00F07A5A">
      <w:pPr>
        <w:pStyle w:val="Heading2"/>
        <w:spacing w:after="0"/>
        <w:rPr>
          <w:rFonts w:asciiTheme="minorHAnsi" w:eastAsiaTheme="minorEastAsia" w:hAnsiTheme="minorHAnsi" w:cstheme="minorBidi"/>
          <w:color w:val="2F5496" w:themeColor="accent1" w:themeShade="BF"/>
          <w:sz w:val="28"/>
          <w:szCs w:val="28"/>
        </w:rPr>
      </w:pPr>
      <w:r>
        <w:rPr>
          <w:rFonts w:asciiTheme="minorHAnsi" w:eastAsiaTheme="minorEastAsia" w:hAnsiTheme="minorHAnsi" w:cstheme="minorBidi"/>
          <w:color w:val="2F5496" w:themeColor="accent1" w:themeShade="BF"/>
          <w:sz w:val="28"/>
          <w:szCs w:val="28"/>
        </w:rPr>
        <w:lastRenderedPageBreak/>
        <w:t>7</w:t>
      </w:r>
      <w:r w:rsidR="00585336">
        <w:rPr>
          <w:rFonts w:asciiTheme="minorHAnsi" w:eastAsiaTheme="minorEastAsia" w:hAnsiTheme="minorHAnsi" w:cstheme="minorBidi"/>
          <w:color w:val="2F5496" w:themeColor="accent1" w:themeShade="BF"/>
          <w:sz w:val="28"/>
          <w:szCs w:val="28"/>
        </w:rPr>
        <w:t>.</w:t>
      </w:r>
      <w:r>
        <w:rPr>
          <w:rFonts w:asciiTheme="minorHAnsi" w:eastAsiaTheme="minorEastAsia" w:hAnsiTheme="minorHAnsi" w:cstheme="minorBidi"/>
          <w:color w:val="2F5496" w:themeColor="accent1" w:themeShade="BF"/>
          <w:sz w:val="28"/>
          <w:szCs w:val="28"/>
        </w:rPr>
        <w:t>4</w:t>
      </w:r>
      <w:r w:rsidR="00585336">
        <w:rPr>
          <w:rFonts w:asciiTheme="minorHAnsi" w:eastAsiaTheme="minorEastAsia" w:hAnsiTheme="minorHAnsi" w:cstheme="minorBidi"/>
          <w:color w:val="2F5496" w:themeColor="accent1" w:themeShade="BF"/>
          <w:sz w:val="28"/>
          <w:szCs w:val="28"/>
        </w:rPr>
        <w:t xml:space="preserve"> </w:t>
      </w:r>
      <w:r w:rsidR="05DF2C40" w:rsidRPr="00F07A5A">
        <w:rPr>
          <w:rFonts w:asciiTheme="minorHAnsi" w:eastAsiaTheme="minorEastAsia" w:hAnsiTheme="minorHAnsi" w:cstheme="minorBidi"/>
          <w:color w:val="2F5496" w:themeColor="accent1" w:themeShade="BF"/>
          <w:sz w:val="28"/>
          <w:szCs w:val="28"/>
        </w:rPr>
        <w:t xml:space="preserve">Changes to and discontinuation of courses </w:t>
      </w:r>
    </w:p>
    <w:p w14:paraId="4FDFFDC4" w14:textId="671122FB" w:rsidR="009E6525" w:rsidRDefault="00FB59C7" w:rsidP="00F65279">
      <w:pPr>
        <w:spacing w:after="0"/>
        <w:ind w:left="-5" w:right="0"/>
      </w:pPr>
      <w:r>
        <w:t xml:space="preserve">Course changes or cancellations are rare.  Applicants will be informed promptly and supported to consider alternative options. </w:t>
      </w:r>
    </w:p>
    <w:p w14:paraId="409FE3F6" w14:textId="77777777" w:rsidR="00F65279" w:rsidRDefault="00F65279" w:rsidP="00F07A5A">
      <w:pPr>
        <w:spacing w:after="0"/>
        <w:ind w:left="-5" w:right="0"/>
      </w:pPr>
    </w:p>
    <w:p w14:paraId="4FDFFDC5" w14:textId="4ECE5518" w:rsidR="009E6525" w:rsidRPr="00F07A5A" w:rsidRDefault="009D3FEF" w:rsidP="00F65279">
      <w:pPr>
        <w:pStyle w:val="Heading1"/>
        <w:ind w:left="-5"/>
        <w:rPr>
          <w:rFonts w:asciiTheme="minorHAnsi" w:hAnsiTheme="minorHAnsi" w:cstheme="minorHAnsi"/>
          <w:color w:val="2F5496" w:themeColor="accent1" w:themeShade="BF"/>
        </w:rPr>
      </w:pPr>
      <w:r>
        <w:rPr>
          <w:rFonts w:asciiTheme="minorHAnsi" w:hAnsiTheme="minorHAnsi" w:cstheme="minorHAnsi"/>
          <w:color w:val="2F5496" w:themeColor="accent1" w:themeShade="BF"/>
        </w:rPr>
        <w:t>8.0</w:t>
      </w:r>
      <w:r w:rsidR="00751417" w:rsidRPr="00751417">
        <w:rPr>
          <w:rFonts w:asciiTheme="minorHAnsi" w:hAnsiTheme="minorHAnsi" w:cstheme="minorHAnsi"/>
          <w:color w:val="2F5496" w:themeColor="accent1" w:themeShade="BF"/>
        </w:rPr>
        <w:t xml:space="preserve"> </w:t>
      </w:r>
      <w:r w:rsidR="006D678F" w:rsidRPr="00F07A5A">
        <w:rPr>
          <w:rFonts w:asciiTheme="minorHAnsi" w:hAnsiTheme="minorHAnsi" w:cstheme="minorHAnsi"/>
          <w:color w:val="2F5496" w:themeColor="accent1" w:themeShade="BF"/>
        </w:rPr>
        <w:t xml:space="preserve">Appeals and Complaints </w:t>
      </w:r>
    </w:p>
    <w:p w14:paraId="005AB700" w14:textId="7447248E" w:rsidR="00BE2150" w:rsidRDefault="00FB59C7" w:rsidP="00F65279">
      <w:pPr>
        <w:spacing w:after="0"/>
        <w:ind w:left="-5" w:right="0"/>
      </w:pPr>
      <w:r>
        <w:t>Applicants may submit appeals or complaints in writing to the Quality Department.  Responses are issued within 10 working days</w:t>
      </w:r>
      <w:r w:rsidR="0077574D">
        <w:t xml:space="preserve">.  The Office of the independent Adjudicator (OIA) provides independent review once internal processes are complete. </w:t>
      </w:r>
      <w:hyperlink r:id="rId13">
        <w:r w:rsidR="0077574D" w:rsidRPr="45384C7B">
          <w:rPr>
            <w:rStyle w:val="Hyperlink"/>
          </w:rPr>
          <w:t>https://www.oiahe.org.uk/students</w:t>
        </w:r>
      </w:hyperlink>
    </w:p>
    <w:p w14:paraId="55F941EE" w14:textId="77777777" w:rsidR="00276644" w:rsidRDefault="00276644" w:rsidP="00F65279">
      <w:pPr>
        <w:spacing w:after="0"/>
        <w:ind w:left="-5" w:right="0"/>
      </w:pPr>
    </w:p>
    <w:p w14:paraId="4FDFFDD0" w14:textId="18A8D6CF" w:rsidR="009E6525" w:rsidRPr="00F07A5A" w:rsidRDefault="00751417" w:rsidP="00F07A5A">
      <w:pPr>
        <w:spacing w:after="0" w:line="259" w:lineRule="auto"/>
        <w:ind w:left="0" w:right="0" w:firstLine="0"/>
        <w:rPr>
          <w:rFonts w:asciiTheme="minorHAnsi" w:hAnsiTheme="minorHAnsi" w:cstheme="minorHAnsi"/>
          <w:b/>
          <w:bCs/>
          <w:color w:val="2F5496" w:themeColor="accent1" w:themeShade="BF"/>
          <w:sz w:val="28"/>
          <w:szCs w:val="28"/>
        </w:rPr>
      </w:pPr>
      <w:r w:rsidRPr="00F07A5A">
        <w:rPr>
          <w:rFonts w:asciiTheme="minorHAnsi" w:hAnsiTheme="minorHAnsi" w:cstheme="minorHAnsi"/>
          <w:b/>
          <w:bCs/>
          <w:color w:val="2F5496" w:themeColor="accent1" w:themeShade="BF"/>
          <w:sz w:val="28"/>
          <w:szCs w:val="28"/>
        </w:rPr>
        <w:t>10. Monitoring and Review</w:t>
      </w:r>
    </w:p>
    <w:p w14:paraId="5B422D6C" w14:textId="36E3040E" w:rsidR="00276644" w:rsidRPr="00F07A5A" w:rsidRDefault="00751417" w:rsidP="00F07A5A">
      <w:pPr>
        <w:pStyle w:val="ListParagraph"/>
        <w:numPr>
          <w:ilvl w:val="0"/>
          <w:numId w:val="6"/>
        </w:numPr>
        <w:spacing w:after="0" w:line="259" w:lineRule="auto"/>
        <w:ind w:right="0"/>
      </w:pPr>
      <w:r>
        <w:rPr>
          <w:color w:val="auto"/>
        </w:rPr>
        <w:t>The policy will be reviewed an</w:t>
      </w:r>
      <w:r w:rsidR="00404FD0">
        <w:rPr>
          <w:color w:val="auto"/>
        </w:rPr>
        <w:t>nually.</w:t>
      </w:r>
    </w:p>
    <w:p w14:paraId="1724D80C" w14:textId="77777777" w:rsidR="00276644" w:rsidRDefault="00276644" w:rsidP="00276644">
      <w:pPr>
        <w:spacing w:after="0" w:line="259" w:lineRule="auto"/>
        <w:ind w:left="0" w:right="0" w:firstLine="0"/>
        <w:rPr>
          <w:rFonts w:asciiTheme="minorHAnsi" w:hAnsiTheme="minorHAnsi" w:cstheme="minorHAnsi"/>
          <w:b/>
          <w:bCs/>
          <w:color w:val="2F5496" w:themeColor="accent1" w:themeShade="BF"/>
          <w:sz w:val="28"/>
          <w:szCs w:val="28"/>
        </w:rPr>
      </w:pPr>
    </w:p>
    <w:p w14:paraId="48DDBA92" w14:textId="699BC015" w:rsidR="00831742" w:rsidRDefault="00831742" w:rsidP="00F07A5A">
      <w:pPr>
        <w:spacing w:after="0" w:line="259" w:lineRule="auto"/>
        <w:ind w:left="0" w:right="0" w:firstLine="0"/>
        <w:rPr>
          <w:rFonts w:asciiTheme="minorHAnsi" w:hAnsiTheme="minorHAnsi" w:cstheme="minorHAnsi"/>
          <w:b/>
          <w:bCs/>
          <w:color w:val="2F5496" w:themeColor="accent1" w:themeShade="BF"/>
          <w:sz w:val="28"/>
          <w:szCs w:val="28"/>
        </w:rPr>
      </w:pPr>
      <w:r w:rsidRPr="00F07A5A">
        <w:rPr>
          <w:rFonts w:asciiTheme="minorHAnsi" w:hAnsiTheme="minorHAnsi" w:cstheme="minorHAnsi"/>
          <w:b/>
          <w:bCs/>
          <w:color w:val="2F5496" w:themeColor="accent1" w:themeShade="BF"/>
          <w:sz w:val="28"/>
          <w:szCs w:val="28"/>
        </w:rPr>
        <w:t>11. Legal and Regulatory Framework</w:t>
      </w:r>
    </w:p>
    <w:p w14:paraId="5282D454" w14:textId="3FD5D38D" w:rsidR="0069228C" w:rsidRPr="00F07A5A" w:rsidRDefault="0069228C" w:rsidP="00276644">
      <w:pPr>
        <w:pStyle w:val="ListParagraph"/>
        <w:numPr>
          <w:ilvl w:val="0"/>
          <w:numId w:val="6"/>
        </w:numPr>
        <w:spacing w:after="0" w:line="259" w:lineRule="auto"/>
        <w:ind w:right="0"/>
        <w:rPr>
          <w:rFonts w:asciiTheme="minorHAnsi" w:hAnsiTheme="minorHAnsi" w:cstheme="minorHAnsi"/>
          <w:b/>
          <w:bCs/>
          <w:color w:val="auto"/>
        </w:rPr>
      </w:pPr>
      <w:r>
        <w:rPr>
          <w:rFonts w:asciiTheme="minorHAnsi" w:hAnsiTheme="minorHAnsi" w:cstheme="minorHAnsi"/>
          <w:color w:val="auto"/>
        </w:rPr>
        <w:t>The Equality Act 2010</w:t>
      </w:r>
    </w:p>
    <w:p w14:paraId="5FA9BC83" w14:textId="5DFE13EE" w:rsidR="0069228C" w:rsidRDefault="003C3015" w:rsidP="00276644">
      <w:pPr>
        <w:pStyle w:val="ListParagraph"/>
        <w:numPr>
          <w:ilvl w:val="0"/>
          <w:numId w:val="6"/>
        </w:numPr>
        <w:spacing w:after="0" w:line="259" w:lineRule="auto"/>
        <w:ind w:right="0"/>
        <w:rPr>
          <w:rFonts w:asciiTheme="minorHAnsi" w:hAnsiTheme="minorHAnsi" w:cstheme="minorHAnsi"/>
          <w:color w:val="auto"/>
        </w:rPr>
      </w:pPr>
      <w:r w:rsidRPr="00F07A5A">
        <w:rPr>
          <w:rFonts w:asciiTheme="minorHAnsi" w:hAnsiTheme="minorHAnsi" w:cstheme="minorHAnsi"/>
          <w:color w:val="auto"/>
        </w:rPr>
        <w:t xml:space="preserve">Public Sector Equality Duty </w:t>
      </w:r>
      <w:r w:rsidR="006C2F9F" w:rsidRPr="00F07A5A">
        <w:rPr>
          <w:rFonts w:asciiTheme="minorHAnsi" w:hAnsiTheme="minorHAnsi" w:cstheme="minorHAnsi"/>
          <w:color w:val="auto"/>
        </w:rPr>
        <w:t>(PSED)</w:t>
      </w:r>
    </w:p>
    <w:p w14:paraId="621C4D1A" w14:textId="4F015A1D" w:rsidR="00EE4D90" w:rsidRDefault="00EE4D90" w:rsidP="00276644">
      <w:pPr>
        <w:pStyle w:val="ListParagraph"/>
        <w:numPr>
          <w:ilvl w:val="0"/>
          <w:numId w:val="6"/>
        </w:numPr>
        <w:spacing w:after="0" w:line="259" w:lineRule="auto"/>
        <w:ind w:right="0"/>
        <w:rPr>
          <w:rFonts w:asciiTheme="minorHAnsi" w:hAnsiTheme="minorHAnsi" w:cstheme="minorHAnsi"/>
          <w:color w:val="auto"/>
        </w:rPr>
      </w:pPr>
      <w:r>
        <w:rPr>
          <w:rFonts w:asciiTheme="minorHAnsi" w:hAnsiTheme="minorHAnsi" w:cstheme="minorHAnsi"/>
          <w:color w:val="auto"/>
        </w:rPr>
        <w:t>Consumer Rights Act 2015</w:t>
      </w:r>
    </w:p>
    <w:p w14:paraId="0C2DB257" w14:textId="70C1A35C" w:rsidR="00276644" w:rsidRPr="00276644" w:rsidRDefault="00421486" w:rsidP="00276644">
      <w:pPr>
        <w:pStyle w:val="ListParagraph"/>
        <w:numPr>
          <w:ilvl w:val="0"/>
          <w:numId w:val="6"/>
        </w:numPr>
        <w:spacing w:after="0" w:line="259" w:lineRule="auto"/>
        <w:ind w:right="0"/>
        <w:rPr>
          <w:rFonts w:asciiTheme="minorHAnsi" w:hAnsiTheme="minorHAnsi" w:cstheme="minorHAnsi"/>
          <w:color w:val="auto"/>
        </w:rPr>
      </w:pPr>
      <w:r w:rsidRPr="006B6FA8">
        <w:rPr>
          <w:rFonts w:asciiTheme="minorHAnsi" w:eastAsiaTheme="minorHAnsi" w:hAnsiTheme="minorHAnsi" w:cstheme="minorBidi"/>
          <w:color w:val="auto"/>
        </w:rPr>
        <w:t>Competition and Markets Authority for HE provide</w:t>
      </w:r>
      <w:r w:rsidR="00276644">
        <w:rPr>
          <w:rFonts w:asciiTheme="minorHAnsi" w:eastAsiaTheme="minorHAnsi" w:hAnsiTheme="minorHAnsi" w:cstheme="minorBidi"/>
          <w:color w:val="auto"/>
        </w:rPr>
        <w:t>rs</w:t>
      </w:r>
    </w:p>
    <w:p w14:paraId="00773CBD" w14:textId="77777777" w:rsidR="00276644" w:rsidRDefault="00276644" w:rsidP="00F65279">
      <w:pPr>
        <w:spacing w:after="0" w:line="259" w:lineRule="auto"/>
        <w:ind w:right="0"/>
        <w:rPr>
          <w:rFonts w:asciiTheme="minorHAnsi" w:hAnsiTheme="minorHAnsi" w:cstheme="minorHAnsi"/>
          <w:b/>
          <w:bCs/>
          <w:color w:val="2F5496" w:themeColor="accent1" w:themeShade="BF"/>
          <w:sz w:val="28"/>
          <w:szCs w:val="28"/>
        </w:rPr>
      </w:pPr>
    </w:p>
    <w:p w14:paraId="3081DFE0" w14:textId="2F198104" w:rsidR="006740A3" w:rsidRPr="00F07A5A" w:rsidRDefault="006740A3" w:rsidP="00F07A5A">
      <w:pPr>
        <w:spacing w:after="0" w:line="259" w:lineRule="auto"/>
        <w:ind w:right="0"/>
        <w:rPr>
          <w:rFonts w:asciiTheme="minorHAnsi" w:hAnsiTheme="minorHAnsi" w:cstheme="minorHAnsi"/>
          <w:color w:val="2F5496" w:themeColor="accent1" w:themeShade="BF"/>
          <w:sz w:val="28"/>
          <w:szCs w:val="28"/>
        </w:rPr>
      </w:pPr>
      <w:r w:rsidRPr="00F07A5A">
        <w:rPr>
          <w:rFonts w:asciiTheme="minorHAnsi" w:hAnsiTheme="minorHAnsi" w:cstheme="minorHAnsi"/>
          <w:b/>
          <w:bCs/>
          <w:color w:val="2F5496" w:themeColor="accent1" w:themeShade="BF"/>
          <w:sz w:val="28"/>
          <w:szCs w:val="28"/>
        </w:rPr>
        <w:t>12. Related Policies and Documents</w:t>
      </w:r>
    </w:p>
    <w:p w14:paraId="5194FF2E" w14:textId="5B63CAE6" w:rsidR="006740A3" w:rsidRDefault="00B83EC2" w:rsidP="366C89C3">
      <w:pPr>
        <w:pStyle w:val="ListParagraph"/>
        <w:numPr>
          <w:ilvl w:val="0"/>
          <w:numId w:val="7"/>
        </w:numPr>
        <w:spacing w:after="0" w:line="259" w:lineRule="auto"/>
        <w:ind w:right="0"/>
        <w:rPr>
          <w:rFonts w:asciiTheme="minorHAnsi" w:hAnsiTheme="minorHAnsi" w:cstheme="minorBidi"/>
          <w:color w:val="auto"/>
        </w:rPr>
      </w:pPr>
      <w:r w:rsidRPr="00F07A5A">
        <w:rPr>
          <w:rFonts w:asciiTheme="minorHAnsi" w:hAnsiTheme="minorHAnsi" w:cstheme="minorBidi"/>
          <w:color w:val="auto"/>
        </w:rPr>
        <w:t xml:space="preserve">Terms and </w:t>
      </w:r>
      <w:r w:rsidR="006815EA" w:rsidRPr="366C89C3">
        <w:rPr>
          <w:rFonts w:asciiTheme="minorHAnsi" w:hAnsiTheme="minorHAnsi" w:cstheme="minorBidi"/>
          <w:color w:val="auto"/>
        </w:rPr>
        <w:t>Conditions following</w:t>
      </w:r>
      <w:r w:rsidR="001A770C" w:rsidRPr="366C89C3">
        <w:rPr>
          <w:rFonts w:asciiTheme="minorHAnsi" w:hAnsiTheme="minorHAnsi" w:cstheme="minorBidi"/>
          <w:color w:val="auto"/>
        </w:rPr>
        <w:t xml:space="preserve"> </w:t>
      </w:r>
      <w:r w:rsidR="006815EA" w:rsidRPr="366C89C3">
        <w:rPr>
          <w:rFonts w:asciiTheme="minorHAnsi" w:hAnsiTheme="minorHAnsi" w:cstheme="minorBidi"/>
          <w:color w:val="auto"/>
        </w:rPr>
        <w:t>acceptance of an offer for HE Students 202</w:t>
      </w:r>
      <w:r w:rsidR="007D55B4">
        <w:rPr>
          <w:rFonts w:asciiTheme="minorHAnsi" w:hAnsiTheme="minorHAnsi" w:cstheme="minorBidi"/>
          <w:color w:val="auto"/>
        </w:rPr>
        <w:t>6</w:t>
      </w:r>
      <w:r w:rsidR="006815EA" w:rsidRPr="366C89C3">
        <w:rPr>
          <w:rFonts w:asciiTheme="minorHAnsi" w:hAnsiTheme="minorHAnsi" w:cstheme="minorBidi"/>
          <w:color w:val="auto"/>
        </w:rPr>
        <w:t>-2</w:t>
      </w:r>
      <w:r w:rsidR="007D55B4">
        <w:rPr>
          <w:rFonts w:asciiTheme="minorHAnsi" w:hAnsiTheme="minorHAnsi" w:cstheme="minorBidi"/>
          <w:color w:val="auto"/>
        </w:rPr>
        <w:t>8</w:t>
      </w:r>
    </w:p>
    <w:p w14:paraId="6B6B4A2D" w14:textId="50DCE03A" w:rsidR="00F65279" w:rsidRPr="00F65279" w:rsidRDefault="00F65279" w:rsidP="366C89C3">
      <w:pPr>
        <w:pStyle w:val="ListParagraph"/>
        <w:numPr>
          <w:ilvl w:val="0"/>
          <w:numId w:val="7"/>
        </w:numPr>
        <w:spacing w:after="0" w:line="259" w:lineRule="auto"/>
        <w:ind w:right="0"/>
        <w:rPr>
          <w:rFonts w:asciiTheme="minorHAnsi" w:hAnsiTheme="minorHAnsi" w:cstheme="minorBidi"/>
          <w:color w:val="auto"/>
        </w:rPr>
      </w:pPr>
      <w:r w:rsidRPr="366C89C3">
        <w:rPr>
          <w:rFonts w:asciiTheme="minorHAnsi" w:hAnsiTheme="minorHAnsi" w:cstheme="minorBidi"/>
          <w:color w:val="auto"/>
        </w:rPr>
        <w:t>HE Fee Policy 2026-27</w:t>
      </w:r>
    </w:p>
    <w:p w14:paraId="2B5D71BC" w14:textId="77777777" w:rsidR="00404FD0" w:rsidRDefault="00404FD0" w:rsidP="366C89C3">
      <w:pPr>
        <w:spacing w:after="0" w:line="259" w:lineRule="auto"/>
        <w:ind w:left="0" w:right="0" w:firstLine="0"/>
      </w:pPr>
    </w:p>
    <w:p w14:paraId="4FDFFDD1" w14:textId="77777777" w:rsidR="009E6525" w:rsidRDefault="006D678F" w:rsidP="00F65279">
      <w:pPr>
        <w:spacing w:after="0" w:line="259" w:lineRule="auto"/>
        <w:ind w:left="0" w:right="0" w:firstLine="0"/>
      </w:pPr>
      <w:r>
        <w:t xml:space="preserve"> </w:t>
      </w:r>
    </w:p>
    <w:sectPr w:rsidR="009E6525">
      <w:footerReference w:type="even" r:id="rId14"/>
      <w:footerReference w:type="default" r:id="rId15"/>
      <w:footerReference w:type="first" r:id="rId16"/>
      <w:pgSz w:w="11906" w:h="16838"/>
      <w:pgMar w:top="672" w:right="1436" w:bottom="1525"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6B16" w14:textId="77777777" w:rsidR="00BF2E66" w:rsidRDefault="00BF2E66">
      <w:pPr>
        <w:spacing w:after="0" w:line="240" w:lineRule="auto"/>
      </w:pPr>
      <w:r>
        <w:separator/>
      </w:r>
    </w:p>
  </w:endnote>
  <w:endnote w:type="continuationSeparator" w:id="0">
    <w:p w14:paraId="37EB29B2" w14:textId="77777777" w:rsidR="00BF2E66" w:rsidRDefault="00BF2E66">
      <w:pPr>
        <w:spacing w:after="0" w:line="240" w:lineRule="auto"/>
      </w:pPr>
      <w:r>
        <w:continuationSeparator/>
      </w:r>
    </w:p>
  </w:endnote>
  <w:endnote w:type="continuationNotice" w:id="1">
    <w:p w14:paraId="728182F2" w14:textId="77777777" w:rsidR="00BF2E66" w:rsidRDefault="00BF2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FDD4" w14:textId="77777777" w:rsidR="009E6525" w:rsidRDefault="006D678F">
    <w:pPr>
      <w:spacing w:after="0" w:line="259" w:lineRule="auto"/>
      <w:ind w:left="0" w:right="0" w:firstLine="0"/>
      <w:jc w:val="right"/>
    </w:pPr>
    <w:r>
      <w:fldChar w:fldCharType="begin"/>
    </w:r>
    <w:r>
      <w:instrText xml:space="preserve"> PAGE   \* MERGEFORMAT </w:instrText>
    </w:r>
    <w:r>
      <w:fldChar w:fldCharType="separate"/>
    </w:r>
    <w:r>
      <w:t>1</w:t>
    </w:r>
    <w:r>
      <w:fldChar w:fldCharType="end"/>
    </w:r>
    <w:r>
      <w:t xml:space="preserve"> </w:t>
    </w:r>
  </w:p>
  <w:p w14:paraId="4FDFFDD5" w14:textId="77777777" w:rsidR="009E6525" w:rsidRDefault="006D678F">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FDD6" w14:textId="77777777" w:rsidR="009E6525" w:rsidRDefault="006D678F">
    <w:pPr>
      <w:spacing w:after="0" w:line="259" w:lineRule="auto"/>
      <w:ind w:left="0" w:right="0" w:firstLine="0"/>
      <w:jc w:val="right"/>
    </w:pPr>
    <w:r>
      <w:fldChar w:fldCharType="begin"/>
    </w:r>
    <w:r>
      <w:instrText xml:space="preserve"> PAGE   \* MERGEFORMAT </w:instrText>
    </w:r>
    <w:r>
      <w:fldChar w:fldCharType="separate"/>
    </w:r>
    <w:r>
      <w:t>1</w:t>
    </w:r>
    <w:r>
      <w:fldChar w:fldCharType="end"/>
    </w:r>
    <w:r>
      <w:t xml:space="preserve"> </w:t>
    </w:r>
  </w:p>
  <w:p w14:paraId="4FDFFDD7" w14:textId="77777777" w:rsidR="009E6525" w:rsidRDefault="006D678F">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FDD8" w14:textId="77777777" w:rsidR="009E6525" w:rsidRDefault="006D678F">
    <w:pPr>
      <w:spacing w:after="0" w:line="259" w:lineRule="auto"/>
      <w:ind w:left="0" w:right="0" w:firstLine="0"/>
      <w:jc w:val="right"/>
    </w:pPr>
    <w:r>
      <w:fldChar w:fldCharType="begin"/>
    </w:r>
    <w:r>
      <w:instrText xml:space="preserve"> PAGE   \* MERGEFORMAT </w:instrText>
    </w:r>
    <w:r>
      <w:fldChar w:fldCharType="separate"/>
    </w:r>
    <w:r>
      <w:t>1</w:t>
    </w:r>
    <w:r>
      <w:fldChar w:fldCharType="end"/>
    </w:r>
    <w:r>
      <w:t xml:space="preserve"> </w:t>
    </w:r>
  </w:p>
  <w:p w14:paraId="4FDFFDD9" w14:textId="77777777" w:rsidR="009E6525" w:rsidRDefault="006D678F">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D2A6" w14:textId="77777777" w:rsidR="00BF2E66" w:rsidRDefault="00BF2E66">
      <w:pPr>
        <w:spacing w:after="0" w:line="240" w:lineRule="auto"/>
      </w:pPr>
      <w:r>
        <w:separator/>
      </w:r>
    </w:p>
  </w:footnote>
  <w:footnote w:type="continuationSeparator" w:id="0">
    <w:p w14:paraId="0F818368" w14:textId="77777777" w:rsidR="00BF2E66" w:rsidRDefault="00BF2E66">
      <w:pPr>
        <w:spacing w:after="0" w:line="240" w:lineRule="auto"/>
      </w:pPr>
      <w:r>
        <w:continuationSeparator/>
      </w:r>
    </w:p>
  </w:footnote>
  <w:footnote w:type="continuationNotice" w:id="1">
    <w:p w14:paraId="320F6DD1" w14:textId="77777777" w:rsidR="00BF2E66" w:rsidRDefault="00BF2E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4E7A"/>
    <w:multiLevelType w:val="hybridMultilevel"/>
    <w:tmpl w:val="BB76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F5895"/>
    <w:multiLevelType w:val="hybridMultilevel"/>
    <w:tmpl w:val="E27C5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8272EB"/>
    <w:multiLevelType w:val="hybridMultilevel"/>
    <w:tmpl w:val="1F102B62"/>
    <w:lvl w:ilvl="0" w:tplc="C4DCE874">
      <w:start w:val="1"/>
      <w:numFmt w:val="decimal"/>
      <w:lvlText w:val="%1."/>
      <w:lvlJc w:val="left"/>
      <w:pPr>
        <w:ind w:left="720" w:hanging="360"/>
      </w:pPr>
    </w:lvl>
    <w:lvl w:ilvl="1" w:tplc="50A43A2E">
      <w:start w:val="1"/>
      <w:numFmt w:val="lowerLetter"/>
      <w:lvlText w:val="%2."/>
      <w:lvlJc w:val="left"/>
      <w:pPr>
        <w:ind w:left="1440" w:hanging="360"/>
      </w:pPr>
    </w:lvl>
    <w:lvl w:ilvl="2" w:tplc="7D2EE85C">
      <w:start w:val="1"/>
      <w:numFmt w:val="lowerRoman"/>
      <w:lvlText w:val="%3."/>
      <w:lvlJc w:val="right"/>
      <w:pPr>
        <w:ind w:left="2160" w:hanging="180"/>
      </w:pPr>
    </w:lvl>
    <w:lvl w:ilvl="3" w:tplc="C708FBB6">
      <w:start w:val="1"/>
      <w:numFmt w:val="decimal"/>
      <w:lvlText w:val="%4."/>
      <w:lvlJc w:val="left"/>
      <w:pPr>
        <w:ind w:left="2880" w:hanging="360"/>
      </w:pPr>
    </w:lvl>
    <w:lvl w:ilvl="4" w:tplc="17069DD8">
      <w:start w:val="1"/>
      <w:numFmt w:val="lowerLetter"/>
      <w:lvlText w:val="%5."/>
      <w:lvlJc w:val="left"/>
      <w:pPr>
        <w:ind w:left="3600" w:hanging="360"/>
      </w:pPr>
    </w:lvl>
    <w:lvl w:ilvl="5" w:tplc="DFA8E1E4">
      <w:start w:val="1"/>
      <w:numFmt w:val="lowerRoman"/>
      <w:lvlText w:val="%6."/>
      <w:lvlJc w:val="right"/>
      <w:pPr>
        <w:ind w:left="4320" w:hanging="180"/>
      </w:pPr>
    </w:lvl>
    <w:lvl w:ilvl="6" w:tplc="7E8C2C80">
      <w:start w:val="1"/>
      <w:numFmt w:val="decimal"/>
      <w:lvlText w:val="%7."/>
      <w:lvlJc w:val="left"/>
      <w:pPr>
        <w:ind w:left="5040" w:hanging="360"/>
      </w:pPr>
    </w:lvl>
    <w:lvl w:ilvl="7" w:tplc="75ACAEE8">
      <w:start w:val="1"/>
      <w:numFmt w:val="lowerLetter"/>
      <w:lvlText w:val="%8."/>
      <w:lvlJc w:val="left"/>
      <w:pPr>
        <w:ind w:left="5760" w:hanging="360"/>
      </w:pPr>
    </w:lvl>
    <w:lvl w:ilvl="8" w:tplc="730AE882">
      <w:start w:val="1"/>
      <w:numFmt w:val="lowerRoman"/>
      <w:lvlText w:val="%9."/>
      <w:lvlJc w:val="right"/>
      <w:pPr>
        <w:ind w:left="6480" w:hanging="180"/>
      </w:pPr>
    </w:lvl>
  </w:abstractNum>
  <w:abstractNum w:abstractNumId="3" w15:restartNumberingAfterBreak="0">
    <w:nsid w:val="4C3A1C1F"/>
    <w:multiLevelType w:val="hybridMultilevel"/>
    <w:tmpl w:val="EC762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50B35"/>
    <w:multiLevelType w:val="hybridMultilevel"/>
    <w:tmpl w:val="3C5ACE50"/>
    <w:lvl w:ilvl="0" w:tplc="FFFFFFFF">
      <w:start w:val="1"/>
      <w:numFmt w:val="bullet"/>
      <w:lvlText w:val="•"/>
      <w:lvlJc w:val="left"/>
      <w:pPr>
        <w:ind w:left="72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0CE289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9C72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F0D7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291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291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EC2E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8256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8E0C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2C37C5"/>
    <w:multiLevelType w:val="hybridMultilevel"/>
    <w:tmpl w:val="F2EAA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F7EFF"/>
    <w:multiLevelType w:val="hybridMultilevel"/>
    <w:tmpl w:val="AEFC87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4D1D1C"/>
    <w:multiLevelType w:val="hybridMultilevel"/>
    <w:tmpl w:val="0DFC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A24E0"/>
    <w:multiLevelType w:val="hybridMultilevel"/>
    <w:tmpl w:val="68F2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D385F"/>
    <w:multiLevelType w:val="hybridMultilevel"/>
    <w:tmpl w:val="A53C93D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5F033F1F"/>
    <w:multiLevelType w:val="hybridMultilevel"/>
    <w:tmpl w:val="89B8D3F4"/>
    <w:lvl w:ilvl="0" w:tplc="D2A20F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65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F0B4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60D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E41B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CF8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1A3D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E53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E4C9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C12479"/>
    <w:multiLevelType w:val="hybridMultilevel"/>
    <w:tmpl w:val="9314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57B01"/>
    <w:multiLevelType w:val="hybridMultilevel"/>
    <w:tmpl w:val="5A0E5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01C0F0"/>
    <w:multiLevelType w:val="hybridMultilevel"/>
    <w:tmpl w:val="C3BA48C2"/>
    <w:lvl w:ilvl="0" w:tplc="8C728B8E">
      <w:start w:val="1"/>
      <w:numFmt w:val="bullet"/>
      <w:lvlText w:val="•"/>
      <w:lvlJc w:val="left"/>
      <w:pPr>
        <w:ind w:left="720" w:hanging="360"/>
      </w:pPr>
      <w:rPr>
        <w:rFonts w:ascii="Arial" w:hAnsi="Arial" w:hint="default"/>
      </w:rPr>
    </w:lvl>
    <w:lvl w:ilvl="1" w:tplc="6EC4DBF8">
      <w:start w:val="1"/>
      <w:numFmt w:val="bullet"/>
      <w:lvlText w:val="o"/>
      <w:lvlJc w:val="left"/>
      <w:pPr>
        <w:ind w:left="1440" w:hanging="360"/>
      </w:pPr>
      <w:rPr>
        <w:rFonts w:ascii="Courier New" w:hAnsi="Courier New" w:hint="default"/>
      </w:rPr>
    </w:lvl>
    <w:lvl w:ilvl="2" w:tplc="540CB1FE">
      <w:start w:val="1"/>
      <w:numFmt w:val="bullet"/>
      <w:lvlText w:val=""/>
      <w:lvlJc w:val="left"/>
      <w:pPr>
        <w:ind w:left="2160" w:hanging="360"/>
      </w:pPr>
      <w:rPr>
        <w:rFonts w:ascii="Wingdings" w:hAnsi="Wingdings" w:hint="default"/>
      </w:rPr>
    </w:lvl>
    <w:lvl w:ilvl="3" w:tplc="E0E090D8">
      <w:start w:val="1"/>
      <w:numFmt w:val="bullet"/>
      <w:lvlText w:val=""/>
      <w:lvlJc w:val="left"/>
      <w:pPr>
        <w:ind w:left="2880" w:hanging="360"/>
      </w:pPr>
      <w:rPr>
        <w:rFonts w:ascii="Symbol" w:hAnsi="Symbol" w:hint="default"/>
      </w:rPr>
    </w:lvl>
    <w:lvl w:ilvl="4" w:tplc="1DA6B8BE">
      <w:start w:val="1"/>
      <w:numFmt w:val="bullet"/>
      <w:lvlText w:val="o"/>
      <w:lvlJc w:val="left"/>
      <w:pPr>
        <w:ind w:left="3600" w:hanging="360"/>
      </w:pPr>
      <w:rPr>
        <w:rFonts w:ascii="Courier New" w:hAnsi="Courier New" w:hint="default"/>
      </w:rPr>
    </w:lvl>
    <w:lvl w:ilvl="5" w:tplc="CDC80750">
      <w:start w:val="1"/>
      <w:numFmt w:val="bullet"/>
      <w:lvlText w:val=""/>
      <w:lvlJc w:val="left"/>
      <w:pPr>
        <w:ind w:left="4320" w:hanging="360"/>
      </w:pPr>
      <w:rPr>
        <w:rFonts w:ascii="Wingdings" w:hAnsi="Wingdings" w:hint="default"/>
      </w:rPr>
    </w:lvl>
    <w:lvl w:ilvl="6" w:tplc="D610E41C">
      <w:start w:val="1"/>
      <w:numFmt w:val="bullet"/>
      <w:lvlText w:val=""/>
      <w:lvlJc w:val="left"/>
      <w:pPr>
        <w:ind w:left="5040" w:hanging="360"/>
      </w:pPr>
      <w:rPr>
        <w:rFonts w:ascii="Symbol" w:hAnsi="Symbol" w:hint="default"/>
      </w:rPr>
    </w:lvl>
    <w:lvl w:ilvl="7" w:tplc="972054AA">
      <w:start w:val="1"/>
      <w:numFmt w:val="bullet"/>
      <w:lvlText w:val="o"/>
      <w:lvlJc w:val="left"/>
      <w:pPr>
        <w:ind w:left="5760" w:hanging="360"/>
      </w:pPr>
      <w:rPr>
        <w:rFonts w:ascii="Courier New" w:hAnsi="Courier New" w:hint="default"/>
      </w:rPr>
    </w:lvl>
    <w:lvl w:ilvl="8" w:tplc="98C68290">
      <w:start w:val="1"/>
      <w:numFmt w:val="bullet"/>
      <w:lvlText w:val=""/>
      <w:lvlJc w:val="left"/>
      <w:pPr>
        <w:ind w:left="6480" w:hanging="360"/>
      </w:pPr>
      <w:rPr>
        <w:rFonts w:ascii="Wingdings" w:hAnsi="Wingdings" w:hint="default"/>
      </w:rPr>
    </w:lvl>
  </w:abstractNum>
  <w:abstractNum w:abstractNumId="14" w15:restartNumberingAfterBreak="0">
    <w:nsid w:val="798D6515"/>
    <w:multiLevelType w:val="hybridMultilevel"/>
    <w:tmpl w:val="528C2714"/>
    <w:lvl w:ilvl="0" w:tplc="A3848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381929">
    <w:abstractNumId w:val="13"/>
  </w:num>
  <w:num w:numId="2" w16cid:durableId="747921341">
    <w:abstractNumId w:val="2"/>
  </w:num>
  <w:num w:numId="3" w16cid:durableId="1073039745">
    <w:abstractNumId w:val="10"/>
  </w:num>
  <w:num w:numId="4" w16cid:durableId="641663620">
    <w:abstractNumId w:val="4"/>
  </w:num>
  <w:num w:numId="5" w16cid:durableId="529955180">
    <w:abstractNumId w:val="12"/>
  </w:num>
  <w:num w:numId="6" w16cid:durableId="640962797">
    <w:abstractNumId w:val="8"/>
  </w:num>
  <w:num w:numId="7" w16cid:durableId="1780446093">
    <w:abstractNumId w:val="0"/>
  </w:num>
  <w:num w:numId="8" w16cid:durableId="1388335959">
    <w:abstractNumId w:val="3"/>
  </w:num>
  <w:num w:numId="9" w16cid:durableId="512501373">
    <w:abstractNumId w:val="7"/>
  </w:num>
  <w:num w:numId="10" w16cid:durableId="1607033477">
    <w:abstractNumId w:val="9"/>
  </w:num>
  <w:num w:numId="11" w16cid:durableId="730008602">
    <w:abstractNumId w:val="11"/>
  </w:num>
  <w:num w:numId="12" w16cid:durableId="845243915">
    <w:abstractNumId w:val="1"/>
  </w:num>
  <w:num w:numId="13" w16cid:durableId="1965885686">
    <w:abstractNumId w:val="5"/>
  </w:num>
  <w:num w:numId="14" w16cid:durableId="1098067262">
    <w:abstractNumId w:val="6"/>
  </w:num>
  <w:num w:numId="15" w16cid:durableId="671445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25"/>
    <w:rsid w:val="00017BB2"/>
    <w:rsid w:val="00044947"/>
    <w:rsid w:val="00064B74"/>
    <w:rsid w:val="0006779A"/>
    <w:rsid w:val="000B3BE5"/>
    <w:rsid w:val="000C00AC"/>
    <w:rsid w:val="000D14B0"/>
    <w:rsid w:val="000E1CFC"/>
    <w:rsid w:val="000E5F6B"/>
    <w:rsid w:val="000F153E"/>
    <w:rsid w:val="000F40F2"/>
    <w:rsid w:val="00143DB9"/>
    <w:rsid w:val="00146216"/>
    <w:rsid w:val="0019574B"/>
    <w:rsid w:val="001A770C"/>
    <w:rsid w:val="001C213F"/>
    <w:rsid w:val="001C788F"/>
    <w:rsid w:val="00251A8E"/>
    <w:rsid w:val="002571D2"/>
    <w:rsid w:val="00262259"/>
    <w:rsid w:val="00262FBF"/>
    <w:rsid w:val="002636B1"/>
    <w:rsid w:val="00276644"/>
    <w:rsid w:val="002855CA"/>
    <w:rsid w:val="002B64B3"/>
    <w:rsid w:val="002E0769"/>
    <w:rsid w:val="002F2E1F"/>
    <w:rsid w:val="0031113C"/>
    <w:rsid w:val="003426D9"/>
    <w:rsid w:val="0035613B"/>
    <w:rsid w:val="00366C59"/>
    <w:rsid w:val="00373ED2"/>
    <w:rsid w:val="0037591D"/>
    <w:rsid w:val="00395FEE"/>
    <w:rsid w:val="003B0373"/>
    <w:rsid w:val="003B2FCC"/>
    <w:rsid w:val="003B6D04"/>
    <w:rsid w:val="003C3015"/>
    <w:rsid w:val="003E0B6E"/>
    <w:rsid w:val="00404FD0"/>
    <w:rsid w:val="00421486"/>
    <w:rsid w:val="00434057"/>
    <w:rsid w:val="0043452A"/>
    <w:rsid w:val="00436EC4"/>
    <w:rsid w:val="00444657"/>
    <w:rsid w:val="004554C6"/>
    <w:rsid w:val="004657FD"/>
    <w:rsid w:val="00474684"/>
    <w:rsid w:val="004854BC"/>
    <w:rsid w:val="004A7D46"/>
    <w:rsid w:val="004B0718"/>
    <w:rsid w:val="004B1CE1"/>
    <w:rsid w:val="004C5BF2"/>
    <w:rsid w:val="004D18F3"/>
    <w:rsid w:val="004E3091"/>
    <w:rsid w:val="00510FAB"/>
    <w:rsid w:val="00565346"/>
    <w:rsid w:val="00567441"/>
    <w:rsid w:val="00585336"/>
    <w:rsid w:val="00602959"/>
    <w:rsid w:val="0060651F"/>
    <w:rsid w:val="00613543"/>
    <w:rsid w:val="00664BDF"/>
    <w:rsid w:val="00670766"/>
    <w:rsid w:val="006740A3"/>
    <w:rsid w:val="00676BBE"/>
    <w:rsid w:val="006815EA"/>
    <w:rsid w:val="00690257"/>
    <w:rsid w:val="0069228C"/>
    <w:rsid w:val="006933E6"/>
    <w:rsid w:val="006B6FA8"/>
    <w:rsid w:val="006C2F9F"/>
    <w:rsid w:val="006D678F"/>
    <w:rsid w:val="0071713E"/>
    <w:rsid w:val="00720B7D"/>
    <w:rsid w:val="00741085"/>
    <w:rsid w:val="00751136"/>
    <w:rsid w:val="00751417"/>
    <w:rsid w:val="007539F2"/>
    <w:rsid w:val="00767EAB"/>
    <w:rsid w:val="0077574D"/>
    <w:rsid w:val="00791639"/>
    <w:rsid w:val="007D55B4"/>
    <w:rsid w:val="007E1262"/>
    <w:rsid w:val="007E2D2D"/>
    <w:rsid w:val="007F5C47"/>
    <w:rsid w:val="0080015A"/>
    <w:rsid w:val="0081600F"/>
    <w:rsid w:val="00824798"/>
    <w:rsid w:val="00824AE2"/>
    <w:rsid w:val="00831742"/>
    <w:rsid w:val="00832265"/>
    <w:rsid w:val="00834F36"/>
    <w:rsid w:val="0086378F"/>
    <w:rsid w:val="00872AB4"/>
    <w:rsid w:val="00886868"/>
    <w:rsid w:val="008F400D"/>
    <w:rsid w:val="0092022F"/>
    <w:rsid w:val="00931651"/>
    <w:rsid w:val="009364BA"/>
    <w:rsid w:val="0096237E"/>
    <w:rsid w:val="009637F1"/>
    <w:rsid w:val="009707A0"/>
    <w:rsid w:val="00975268"/>
    <w:rsid w:val="00976B53"/>
    <w:rsid w:val="00986A7A"/>
    <w:rsid w:val="009916D5"/>
    <w:rsid w:val="00994A88"/>
    <w:rsid w:val="009B0F84"/>
    <w:rsid w:val="009B7E2A"/>
    <w:rsid w:val="009D3DB3"/>
    <w:rsid w:val="009D3FEF"/>
    <w:rsid w:val="009E6525"/>
    <w:rsid w:val="00A05466"/>
    <w:rsid w:val="00A064D4"/>
    <w:rsid w:val="00A0752C"/>
    <w:rsid w:val="00A32776"/>
    <w:rsid w:val="00A40933"/>
    <w:rsid w:val="00A52CB8"/>
    <w:rsid w:val="00A55052"/>
    <w:rsid w:val="00A623F1"/>
    <w:rsid w:val="00A6525C"/>
    <w:rsid w:val="00A67176"/>
    <w:rsid w:val="00A67222"/>
    <w:rsid w:val="00A95AB5"/>
    <w:rsid w:val="00A96F58"/>
    <w:rsid w:val="00AE7DE9"/>
    <w:rsid w:val="00B013F3"/>
    <w:rsid w:val="00B2472D"/>
    <w:rsid w:val="00B27B22"/>
    <w:rsid w:val="00B6571A"/>
    <w:rsid w:val="00B83EC2"/>
    <w:rsid w:val="00BA56A0"/>
    <w:rsid w:val="00BB3F87"/>
    <w:rsid w:val="00BC5523"/>
    <w:rsid w:val="00BC699B"/>
    <w:rsid w:val="00BC7718"/>
    <w:rsid w:val="00BD21B4"/>
    <w:rsid w:val="00BD38C8"/>
    <w:rsid w:val="00BE2150"/>
    <w:rsid w:val="00BE4C39"/>
    <w:rsid w:val="00BF2D0D"/>
    <w:rsid w:val="00BF2E66"/>
    <w:rsid w:val="00C005B6"/>
    <w:rsid w:val="00C072EA"/>
    <w:rsid w:val="00C44ACD"/>
    <w:rsid w:val="00C46721"/>
    <w:rsid w:val="00C50050"/>
    <w:rsid w:val="00C815D8"/>
    <w:rsid w:val="00C93617"/>
    <w:rsid w:val="00CC7CEC"/>
    <w:rsid w:val="00CD2F11"/>
    <w:rsid w:val="00CE18B8"/>
    <w:rsid w:val="00D10CEC"/>
    <w:rsid w:val="00D11354"/>
    <w:rsid w:val="00D54C84"/>
    <w:rsid w:val="00D93A34"/>
    <w:rsid w:val="00D95C33"/>
    <w:rsid w:val="00DA7616"/>
    <w:rsid w:val="00DC7341"/>
    <w:rsid w:val="00DC7C0D"/>
    <w:rsid w:val="00DD1C8D"/>
    <w:rsid w:val="00DD43C3"/>
    <w:rsid w:val="00DE416C"/>
    <w:rsid w:val="00E17565"/>
    <w:rsid w:val="00E24312"/>
    <w:rsid w:val="00E334D2"/>
    <w:rsid w:val="00E3520D"/>
    <w:rsid w:val="00E3652F"/>
    <w:rsid w:val="00E37825"/>
    <w:rsid w:val="00E50F61"/>
    <w:rsid w:val="00E518E3"/>
    <w:rsid w:val="00E84B36"/>
    <w:rsid w:val="00E953E2"/>
    <w:rsid w:val="00EB25DB"/>
    <w:rsid w:val="00EC4A3F"/>
    <w:rsid w:val="00EC6871"/>
    <w:rsid w:val="00ED5361"/>
    <w:rsid w:val="00EE4D90"/>
    <w:rsid w:val="00F02D20"/>
    <w:rsid w:val="00F07A5A"/>
    <w:rsid w:val="00F258F6"/>
    <w:rsid w:val="00F25ECF"/>
    <w:rsid w:val="00F2735F"/>
    <w:rsid w:val="00F43B4A"/>
    <w:rsid w:val="00F461F4"/>
    <w:rsid w:val="00F470C7"/>
    <w:rsid w:val="00F65279"/>
    <w:rsid w:val="00F65D2B"/>
    <w:rsid w:val="00FA3A90"/>
    <w:rsid w:val="00FB59C7"/>
    <w:rsid w:val="00FC2A31"/>
    <w:rsid w:val="00FF594C"/>
    <w:rsid w:val="0143B494"/>
    <w:rsid w:val="01A151ED"/>
    <w:rsid w:val="0207F566"/>
    <w:rsid w:val="03261BDE"/>
    <w:rsid w:val="03724300"/>
    <w:rsid w:val="04761955"/>
    <w:rsid w:val="04808220"/>
    <w:rsid w:val="05DF2C40"/>
    <w:rsid w:val="06C9D39F"/>
    <w:rsid w:val="076726B3"/>
    <w:rsid w:val="07B2AE2D"/>
    <w:rsid w:val="080BEC03"/>
    <w:rsid w:val="09F1FF10"/>
    <w:rsid w:val="09FAE639"/>
    <w:rsid w:val="0C431046"/>
    <w:rsid w:val="0D7E20CD"/>
    <w:rsid w:val="0ECE8BAE"/>
    <w:rsid w:val="1075EE3E"/>
    <w:rsid w:val="10F4E09C"/>
    <w:rsid w:val="11836F88"/>
    <w:rsid w:val="119299D0"/>
    <w:rsid w:val="11FCEADF"/>
    <w:rsid w:val="1206B950"/>
    <w:rsid w:val="126B9CBE"/>
    <w:rsid w:val="12AA8C21"/>
    <w:rsid w:val="12BE733E"/>
    <w:rsid w:val="13C022CC"/>
    <w:rsid w:val="14F05240"/>
    <w:rsid w:val="15402B12"/>
    <w:rsid w:val="157F253B"/>
    <w:rsid w:val="166F3201"/>
    <w:rsid w:val="16B204D4"/>
    <w:rsid w:val="16DBFB73"/>
    <w:rsid w:val="17642220"/>
    <w:rsid w:val="187014EC"/>
    <w:rsid w:val="19487AF4"/>
    <w:rsid w:val="1DB632E0"/>
    <w:rsid w:val="1DD2FB2B"/>
    <w:rsid w:val="1E070B31"/>
    <w:rsid w:val="1E116439"/>
    <w:rsid w:val="1F32E952"/>
    <w:rsid w:val="207014F2"/>
    <w:rsid w:val="20EC9906"/>
    <w:rsid w:val="21C024C7"/>
    <w:rsid w:val="21D91FB3"/>
    <w:rsid w:val="2510C075"/>
    <w:rsid w:val="27CCB9D3"/>
    <w:rsid w:val="28F299B4"/>
    <w:rsid w:val="2B7DA514"/>
    <w:rsid w:val="2CBB5499"/>
    <w:rsid w:val="2D984CC0"/>
    <w:rsid w:val="2DB7C229"/>
    <w:rsid w:val="30B6EE74"/>
    <w:rsid w:val="314FB5FD"/>
    <w:rsid w:val="3307F0FF"/>
    <w:rsid w:val="352ED1C5"/>
    <w:rsid w:val="3617F02B"/>
    <w:rsid w:val="36194E87"/>
    <w:rsid w:val="36649171"/>
    <w:rsid w:val="366C89C3"/>
    <w:rsid w:val="38233C00"/>
    <w:rsid w:val="3894929D"/>
    <w:rsid w:val="390CECFA"/>
    <w:rsid w:val="39F127C2"/>
    <w:rsid w:val="3B0969FD"/>
    <w:rsid w:val="3B226BE5"/>
    <w:rsid w:val="3CF315AD"/>
    <w:rsid w:val="3D0E999C"/>
    <w:rsid w:val="3D32E880"/>
    <w:rsid w:val="3E57AEC7"/>
    <w:rsid w:val="3E5A0CA7"/>
    <w:rsid w:val="3E6B91AC"/>
    <w:rsid w:val="3E750DB3"/>
    <w:rsid w:val="3F2D4697"/>
    <w:rsid w:val="3F8D2478"/>
    <w:rsid w:val="406FA6E6"/>
    <w:rsid w:val="4144317C"/>
    <w:rsid w:val="4191AD69"/>
    <w:rsid w:val="43A19FDE"/>
    <w:rsid w:val="4458F4DB"/>
    <w:rsid w:val="449A9355"/>
    <w:rsid w:val="45384C7B"/>
    <w:rsid w:val="47AAAA01"/>
    <w:rsid w:val="486FED3D"/>
    <w:rsid w:val="48BCC5AB"/>
    <w:rsid w:val="4A0C1203"/>
    <w:rsid w:val="4B0BEA78"/>
    <w:rsid w:val="4B4E8F1A"/>
    <w:rsid w:val="4E615D17"/>
    <w:rsid w:val="4E6690DD"/>
    <w:rsid w:val="4FEC7D72"/>
    <w:rsid w:val="500917E0"/>
    <w:rsid w:val="50A69533"/>
    <w:rsid w:val="50FC5D80"/>
    <w:rsid w:val="522C4D71"/>
    <w:rsid w:val="52391C5C"/>
    <w:rsid w:val="527F04BF"/>
    <w:rsid w:val="52826BC9"/>
    <w:rsid w:val="53707C21"/>
    <w:rsid w:val="543BB34A"/>
    <w:rsid w:val="54A662D7"/>
    <w:rsid w:val="55CFFECF"/>
    <w:rsid w:val="566931D0"/>
    <w:rsid w:val="57A189F5"/>
    <w:rsid w:val="57AE1188"/>
    <w:rsid w:val="58BC04B6"/>
    <w:rsid w:val="594A822C"/>
    <w:rsid w:val="59B622B1"/>
    <w:rsid w:val="5A5FB51A"/>
    <w:rsid w:val="5A80CFC1"/>
    <w:rsid w:val="5AE28057"/>
    <w:rsid w:val="5B95AD3E"/>
    <w:rsid w:val="5C15D135"/>
    <w:rsid w:val="5C4B69AE"/>
    <w:rsid w:val="5C8BCD16"/>
    <w:rsid w:val="5CB174BC"/>
    <w:rsid w:val="5CE25156"/>
    <w:rsid w:val="5F1B93A6"/>
    <w:rsid w:val="5FC36DD8"/>
    <w:rsid w:val="600E7FFB"/>
    <w:rsid w:val="616E8F20"/>
    <w:rsid w:val="6184E5DF"/>
    <w:rsid w:val="61993D4C"/>
    <w:rsid w:val="63392EA9"/>
    <w:rsid w:val="647A705E"/>
    <w:rsid w:val="6642AFE2"/>
    <w:rsid w:val="66E60EE7"/>
    <w:rsid w:val="670851F6"/>
    <w:rsid w:val="6756031F"/>
    <w:rsid w:val="6811509D"/>
    <w:rsid w:val="693905C2"/>
    <w:rsid w:val="6A6CA678"/>
    <w:rsid w:val="6B03C39A"/>
    <w:rsid w:val="6BB9800A"/>
    <w:rsid w:val="7139588C"/>
    <w:rsid w:val="71C0DEB8"/>
    <w:rsid w:val="72491121"/>
    <w:rsid w:val="729F67A2"/>
    <w:rsid w:val="756BCF2A"/>
    <w:rsid w:val="75E17269"/>
    <w:rsid w:val="75EF6AB8"/>
    <w:rsid w:val="7613D7FC"/>
    <w:rsid w:val="76661C7E"/>
    <w:rsid w:val="76EFA643"/>
    <w:rsid w:val="7707C423"/>
    <w:rsid w:val="773F5ED2"/>
    <w:rsid w:val="790CBA0A"/>
    <w:rsid w:val="7991DFA4"/>
    <w:rsid w:val="79F6E8BF"/>
    <w:rsid w:val="7AD7B233"/>
    <w:rsid w:val="7B30B118"/>
    <w:rsid w:val="7B894C1F"/>
    <w:rsid w:val="7D251C80"/>
    <w:rsid w:val="7D46C384"/>
    <w:rsid w:val="7E941033"/>
    <w:rsid w:val="7F9E7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FD45"/>
  <w15:docId w15:val="{27F864B5-37F1-4492-B383-5887B3B6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right="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4" w:line="267" w:lineRule="auto"/>
      <w:ind w:left="10" w:hanging="1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4F81BD"/>
      <w:sz w:val="26"/>
    </w:rPr>
  </w:style>
  <w:style w:type="character" w:customStyle="1" w:styleId="Heading1Char">
    <w:name w:val="Heading 1 Char"/>
    <w:link w:val="Heading1"/>
    <w:rPr>
      <w:rFonts w:ascii="Cambria" w:eastAsia="Cambria" w:hAnsi="Cambria" w:cs="Cambria"/>
      <w:b/>
      <w:color w:val="365F91"/>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2150"/>
    <w:pPr>
      <w:ind w:left="720"/>
      <w:contextualSpacing/>
    </w:pPr>
  </w:style>
  <w:style w:type="character" w:styleId="Hyperlink">
    <w:name w:val="Hyperlink"/>
    <w:basedOn w:val="DefaultParagraphFont"/>
    <w:uiPriority w:val="99"/>
    <w:unhideWhenUsed/>
    <w:rsid w:val="00373ED2"/>
    <w:rPr>
      <w:color w:val="0563C1" w:themeColor="hyperlink"/>
      <w:u w:val="single"/>
    </w:rPr>
  </w:style>
  <w:style w:type="character" w:styleId="UnresolvedMention">
    <w:name w:val="Unresolved Mention"/>
    <w:basedOn w:val="DefaultParagraphFont"/>
    <w:uiPriority w:val="99"/>
    <w:semiHidden/>
    <w:unhideWhenUsed/>
    <w:rsid w:val="00373ED2"/>
    <w:rPr>
      <w:color w:val="605E5C"/>
      <w:shd w:val="clear" w:color="auto" w:fill="E1DFDD"/>
    </w:rPr>
  </w:style>
  <w:style w:type="paragraph" w:styleId="Revision">
    <w:name w:val="Revision"/>
    <w:hidden/>
    <w:uiPriority w:val="99"/>
    <w:semiHidden/>
    <w:rsid w:val="00A67176"/>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A67176"/>
    <w:rPr>
      <w:sz w:val="16"/>
      <w:szCs w:val="16"/>
    </w:rPr>
  </w:style>
  <w:style w:type="paragraph" w:styleId="CommentText">
    <w:name w:val="annotation text"/>
    <w:basedOn w:val="Normal"/>
    <w:link w:val="CommentTextChar"/>
    <w:uiPriority w:val="99"/>
    <w:unhideWhenUsed/>
    <w:rsid w:val="00A67176"/>
    <w:pPr>
      <w:spacing w:line="240" w:lineRule="auto"/>
    </w:pPr>
    <w:rPr>
      <w:sz w:val="20"/>
      <w:szCs w:val="20"/>
    </w:rPr>
  </w:style>
  <w:style w:type="character" w:customStyle="1" w:styleId="CommentTextChar">
    <w:name w:val="Comment Text Char"/>
    <w:basedOn w:val="DefaultParagraphFont"/>
    <w:link w:val="CommentText"/>
    <w:uiPriority w:val="99"/>
    <w:rsid w:val="00A6717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67176"/>
    <w:rPr>
      <w:b/>
      <w:bCs/>
    </w:rPr>
  </w:style>
  <w:style w:type="character" w:customStyle="1" w:styleId="CommentSubjectChar">
    <w:name w:val="Comment Subject Char"/>
    <w:basedOn w:val="CommentTextChar"/>
    <w:link w:val="CommentSubject"/>
    <w:uiPriority w:val="99"/>
    <w:semiHidden/>
    <w:rsid w:val="00A67176"/>
    <w:rPr>
      <w:rFonts w:ascii="Calibri" w:eastAsia="Calibri" w:hAnsi="Calibri" w:cs="Calibri"/>
      <w:b/>
      <w:bCs/>
      <w:color w:val="000000"/>
      <w:sz w:val="20"/>
      <w:szCs w:val="20"/>
    </w:rPr>
  </w:style>
  <w:style w:type="paragraph" w:styleId="Header">
    <w:name w:val="header"/>
    <w:basedOn w:val="Normal"/>
    <w:link w:val="HeaderChar"/>
    <w:uiPriority w:val="99"/>
    <w:semiHidden/>
    <w:unhideWhenUsed/>
    <w:rsid w:val="00EB25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25DB"/>
    <w:rPr>
      <w:rFonts w:ascii="Calibri" w:eastAsia="Calibri" w:hAnsi="Calibri" w:cs="Calibri"/>
      <w:color w:val="000000"/>
    </w:rPr>
  </w:style>
  <w:style w:type="paragraph" w:styleId="Footer">
    <w:name w:val="footer"/>
    <w:basedOn w:val="Normal"/>
    <w:link w:val="FooterChar"/>
    <w:uiPriority w:val="99"/>
    <w:semiHidden/>
    <w:unhideWhenUsed/>
    <w:rsid w:val="00EB25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25DB"/>
    <w:rPr>
      <w:rFonts w:ascii="Calibri" w:eastAsia="Calibri" w:hAnsi="Calibri" w:cs="Calibri"/>
      <w:color w:val="000000"/>
    </w:rPr>
  </w:style>
  <w:style w:type="table" w:styleId="TableGrid">
    <w:name w:val="Table Grid"/>
    <w:basedOn w:val="TableNormal"/>
    <w:uiPriority w:val="39"/>
    <w:rsid w:val="006B6F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4136">
      <w:bodyDiv w:val="1"/>
      <w:marLeft w:val="0"/>
      <w:marRight w:val="0"/>
      <w:marTop w:val="0"/>
      <w:marBottom w:val="0"/>
      <w:divBdr>
        <w:top w:val="none" w:sz="0" w:space="0" w:color="auto"/>
        <w:left w:val="none" w:sz="0" w:space="0" w:color="auto"/>
        <w:bottom w:val="none" w:sz="0" w:space="0" w:color="auto"/>
        <w:right w:val="none" w:sz="0" w:space="0" w:color="auto"/>
      </w:divBdr>
    </w:div>
    <w:div w:id="95263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ahe.org.uk/stud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hub@howcolleg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d78aa-a4b1-4ccd-81c7-feaf38cbab1f">
      <Terms xmlns="http://schemas.microsoft.com/office/infopath/2007/PartnerControls"/>
    </lcf76f155ced4ddcb4097134ff3c332f>
    <TaxCatchAll xmlns="4fe81e6a-6ec6-4059-b966-e06f2eca3ee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2F5647488144CBF7F4DD11AAEF6EE" ma:contentTypeVersion="17" ma:contentTypeDescription="Create a new document." ma:contentTypeScope="" ma:versionID="4608e734745c598ff04a67c80d7c1bc3">
  <xsd:schema xmlns:xsd="http://www.w3.org/2001/XMLSchema" xmlns:xs="http://www.w3.org/2001/XMLSchema" xmlns:p="http://schemas.microsoft.com/office/2006/metadata/properties" xmlns:ns2="10cd78aa-a4b1-4ccd-81c7-feaf38cbab1f" xmlns:ns3="4fe81e6a-6ec6-4059-b966-e06f2eca3eec" targetNamespace="http://schemas.microsoft.com/office/2006/metadata/properties" ma:root="true" ma:fieldsID="b433be605f2f167eabaff1c0ef92a65c" ns2:_="" ns3:_="">
    <xsd:import namespace="10cd78aa-a4b1-4ccd-81c7-feaf38cbab1f"/>
    <xsd:import namespace="4fe81e6a-6ec6-4059-b966-e06f2eca3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d78aa-a4b1-4ccd-81c7-feaf38c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81e6a-6ec6-4059-b966-e06f2eca3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bb2268-afff-4fe4-8bd2-304ae635cbe1}" ma:internalName="TaxCatchAll" ma:showField="CatchAllData" ma:web="4fe81e6a-6ec6-4059-b966-e06f2eca3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04C0-9134-45BE-8614-05F5AB54A383}">
  <ds:schemaRefs>
    <ds:schemaRef ds:uri="http://schemas.microsoft.com/sharepoint/v3/contenttype/forms"/>
  </ds:schemaRefs>
</ds:datastoreItem>
</file>

<file path=customXml/itemProps2.xml><?xml version="1.0" encoding="utf-8"?>
<ds:datastoreItem xmlns:ds="http://schemas.openxmlformats.org/officeDocument/2006/customXml" ds:itemID="{775F0946-E1E1-4C25-8059-7EB2957F7E65}">
  <ds:schemaRefs>
    <ds:schemaRef ds:uri="http://schemas.microsoft.com/office/2006/metadata/properties"/>
    <ds:schemaRef ds:uri="http://schemas.microsoft.com/office/infopath/2007/PartnerControls"/>
    <ds:schemaRef ds:uri="http://purl.org/dc/dcmitype/"/>
    <ds:schemaRef ds:uri="http://www.w3.org/XML/1998/namespace"/>
    <ds:schemaRef ds:uri="10cd78aa-a4b1-4ccd-81c7-feaf38cbab1f"/>
    <ds:schemaRef ds:uri="http://purl.org/dc/terms/"/>
    <ds:schemaRef ds:uri="http://schemas.microsoft.com/office/2006/documentManagement/types"/>
    <ds:schemaRef ds:uri="http://schemas.openxmlformats.org/package/2006/metadata/core-properties"/>
    <ds:schemaRef ds:uri="4fe81e6a-6ec6-4059-b966-e06f2eca3eec"/>
    <ds:schemaRef ds:uri="http://purl.org/dc/elements/1.1/"/>
  </ds:schemaRefs>
</ds:datastoreItem>
</file>

<file path=customXml/itemProps3.xml><?xml version="1.0" encoding="utf-8"?>
<ds:datastoreItem xmlns:ds="http://schemas.openxmlformats.org/officeDocument/2006/customXml" ds:itemID="{97FD1193-E5DC-490D-9A2C-DF065B7B5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d78aa-a4b1-4ccd-81c7-feaf38cbab1f"/>
    <ds:schemaRef ds:uri="4fe81e6a-6ec6-4059-b966-e06f2eca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C0093-A713-4E59-BD65-887FE2BB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1260</Words>
  <Characters>7182</Characters>
  <Application>Microsoft Office Word</Application>
  <DocSecurity>4</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Lister</dc:creator>
  <cp:keywords/>
  <cp:lastModifiedBy>Emma Hunt</cp:lastModifiedBy>
  <cp:revision>2</cp:revision>
  <dcterms:created xsi:type="dcterms:W3CDTF">2026-06-09T14:21:00Z</dcterms:created>
  <dcterms:modified xsi:type="dcterms:W3CDTF">2026-06-09T14:21:00Z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0x010100F562F5647488144CBF7F4DD11AAEF6EE</vt:lpwstr>
  </property>
</Properties>
</file>