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D6128" w:rsidRPr="00726F56" w:rsidRDefault="00A23A0C" w:rsidP="00726F56">
      <w:pPr>
        <w:jc w:val="center"/>
        <w:rPr>
          <w:noProof/>
          <w:sz w:val="22"/>
          <w:szCs w:val="22"/>
          <w:lang w:eastAsia="en-GB"/>
        </w:rPr>
      </w:pPr>
      <w:bookmarkStart w:id="0" w:name="_GoBack"/>
      <w:bookmarkEnd w:id="0"/>
      <w:r w:rsidRPr="00726F56">
        <w:rPr>
          <w:noProof/>
          <w:sz w:val="22"/>
          <w:szCs w:val="22"/>
          <w:lang w:eastAsia="en-GB"/>
        </w:rPr>
        <w:drawing>
          <wp:inline distT="0" distB="0" distL="0" distR="0" wp14:anchorId="54B06B33" wp14:editId="0F0D70C7">
            <wp:extent cx="2381250" cy="742950"/>
            <wp:effectExtent l="19050" t="0" r="0" b="0"/>
            <wp:docPr id="3" name="Picture 1" descr="cid:image005.png@01CFC77B.23B67A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5.png@01CFC77B.23B67A60"/>
                    <pic:cNvPicPr>
                      <a:picLocks noChangeAspect="1" noChangeArrowheads="1"/>
                    </pic:cNvPicPr>
                  </pic:nvPicPr>
                  <pic:blipFill>
                    <a:blip r:embed="rId8" r:link="rId9" cstate="print"/>
                    <a:srcRect/>
                    <a:stretch>
                      <a:fillRect/>
                    </a:stretch>
                  </pic:blipFill>
                  <pic:spPr bwMode="auto">
                    <a:xfrm>
                      <a:off x="0" y="0"/>
                      <a:ext cx="2381250" cy="742950"/>
                    </a:xfrm>
                    <a:prstGeom prst="rect">
                      <a:avLst/>
                    </a:prstGeom>
                    <a:noFill/>
                    <a:ln w="9525">
                      <a:noFill/>
                      <a:miter lim="800000"/>
                      <a:headEnd/>
                      <a:tailEnd/>
                    </a:ln>
                  </pic:spPr>
                </pic:pic>
              </a:graphicData>
            </a:graphic>
          </wp:inline>
        </w:drawing>
      </w:r>
    </w:p>
    <w:p w:rsidR="00A23A0C" w:rsidRPr="00726F56" w:rsidRDefault="00A23A0C" w:rsidP="00726F56">
      <w:pPr>
        <w:jc w:val="both"/>
        <w:rPr>
          <w:b/>
          <w:sz w:val="22"/>
          <w:szCs w:val="22"/>
        </w:rPr>
      </w:pPr>
    </w:p>
    <w:p w:rsidR="004D6128" w:rsidRPr="00726F56" w:rsidRDefault="004D6128" w:rsidP="00726F56">
      <w:pPr>
        <w:jc w:val="both"/>
        <w:rPr>
          <w:b/>
          <w:sz w:val="22"/>
          <w:szCs w:val="22"/>
        </w:rPr>
      </w:pPr>
    </w:p>
    <w:p w:rsidR="00A73CF7" w:rsidRPr="00726F56" w:rsidRDefault="00A73CF7" w:rsidP="00726F56">
      <w:pPr>
        <w:jc w:val="both"/>
        <w:rPr>
          <w:b/>
          <w:sz w:val="22"/>
          <w:szCs w:val="22"/>
        </w:rPr>
      </w:pPr>
    </w:p>
    <w:p w:rsidR="009B59F6" w:rsidRPr="00726F56" w:rsidRDefault="00D43769" w:rsidP="00726F56">
      <w:pPr>
        <w:jc w:val="center"/>
        <w:rPr>
          <w:b/>
          <w:sz w:val="22"/>
          <w:szCs w:val="22"/>
        </w:rPr>
      </w:pPr>
      <w:r w:rsidRPr="00726F56">
        <w:rPr>
          <w:b/>
          <w:sz w:val="22"/>
          <w:szCs w:val="22"/>
        </w:rPr>
        <w:t>AUDIT COMMITTEE</w:t>
      </w:r>
    </w:p>
    <w:p w:rsidR="00A73CF7" w:rsidRPr="00726F56" w:rsidRDefault="00A73CF7" w:rsidP="00726F56">
      <w:pPr>
        <w:jc w:val="center"/>
        <w:rPr>
          <w:b/>
          <w:sz w:val="22"/>
          <w:szCs w:val="22"/>
        </w:rPr>
      </w:pPr>
    </w:p>
    <w:p w:rsidR="00843EF1" w:rsidRPr="00726F56" w:rsidRDefault="00A71958" w:rsidP="00726F56">
      <w:pPr>
        <w:pStyle w:val="Heading4"/>
        <w:jc w:val="center"/>
        <w:rPr>
          <w:rFonts w:ascii="Arial" w:hAnsi="Arial" w:cs="Arial"/>
          <w:i w:val="0"/>
          <w:color w:val="auto"/>
          <w:sz w:val="22"/>
          <w:szCs w:val="22"/>
        </w:rPr>
      </w:pPr>
      <w:r>
        <w:rPr>
          <w:rFonts w:ascii="Arial" w:hAnsi="Arial" w:cs="Arial"/>
          <w:i w:val="0"/>
          <w:color w:val="auto"/>
          <w:sz w:val="22"/>
          <w:szCs w:val="22"/>
        </w:rPr>
        <w:t xml:space="preserve">APPROVED </w:t>
      </w:r>
      <w:r w:rsidR="004A3DFE" w:rsidRPr="00726F56">
        <w:rPr>
          <w:rFonts w:ascii="Arial" w:hAnsi="Arial" w:cs="Arial"/>
          <w:i w:val="0"/>
          <w:color w:val="auto"/>
          <w:sz w:val="22"/>
          <w:szCs w:val="22"/>
        </w:rPr>
        <w:t>DRAFT</w:t>
      </w:r>
      <w:r w:rsidR="00697CC1" w:rsidRPr="00726F56">
        <w:rPr>
          <w:rFonts w:ascii="Arial" w:hAnsi="Arial" w:cs="Arial"/>
          <w:i w:val="0"/>
          <w:color w:val="auto"/>
          <w:sz w:val="22"/>
          <w:szCs w:val="22"/>
        </w:rPr>
        <w:t xml:space="preserve"> </w:t>
      </w:r>
      <w:r w:rsidR="00264ABE" w:rsidRPr="00726F56">
        <w:rPr>
          <w:rFonts w:ascii="Arial" w:hAnsi="Arial" w:cs="Arial"/>
          <w:i w:val="0"/>
          <w:color w:val="auto"/>
          <w:sz w:val="22"/>
          <w:szCs w:val="22"/>
        </w:rPr>
        <w:t xml:space="preserve">Minutes of the Meeting </w:t>
      </w:r>
      <w:r w:rsidR="00843EF1" w:rsidRPr="00726F56">
        <w:rPr>
          <w:rFonts w:ascii="Arial" w:hAnsi="Arial" w:cs="Arial"/>
          <w:i w:val="0"/>
          <w:color w:val="auto"/>
          <w:sz w:val="22"/>
          <w:szCs w:val="22"/>
        </w:rPr>
        <w:t xml:space="preserve">held on </w:t>
      </w:r>
      <w:r w:rsidR="00206A39" w:rsidRPr="00726F56">
        <w:rPr>
          <w:rFonts w:ascii="Arial" w:hAnsi="Arial" w:cs="Arial"/>
          <w:i w:val="0"/>
          <w:color w:val="auto"/>
          <w:sz w:val="22"/>
          <w:szCs w:val="22"/>
        </w:rPr>
        <w:t>Tues</w:t>
      </w:r>
      <w:r w:rsidR="00843EF1" w:rsidRPr="00726F56">
        <w:rPr>
          <w:rFonts w:ascii="Arial" w:hAnsi="Arial" w:cs="Arial"/>
          <w:i w:val="0"/>
          <w:color w:val="auto"/>
          <w:sz w:val="22"/>
          <w:szCs w:val="22"/>
        </w:rPr>
        <w:t xml:space="preserve">day </w:t>
      </w:r>
      <w:r w:rsidR="00D96C99" w:rsidRPr="00726F56">
        <w:rPr>
          <w:rFonts w:ascii="Arial" w:hAnsi="Arial" w:cs="Arial"/>
          <w:i w:val="0"/>
          <w:color w:val="auto"/>
          <w:sz w:val="22"/>
          <w:szCs w:val="22"/>
        </w:rPr>
        <w:t>25</w:t>
      </w:r>
      <w:r w:rsidR="00AA5A88" w:rsidRPr="00726F56">
        <w:rPr>
          <w:rFonts w:ascii="Arial" w:hAnsi="Arial" w:cs="Arial"/>
          <w:i w:val="0"/>
          <w:color w:val="auto"/>
          <w:sz w:val="22"/>
          <w:szCs w:val="22"/>
        </w:rPr>
        <w:t xml:space="preserve"> </w:t>
      </w:r>
      <w:r w:rsidR="00E95A39" w:rsidRPr="00726F56">
        <w:rPr>
          <w:rFonts w:ascii="Arial" w:hAnsi="Arial" w:cs="Arial"/>
          <w:i w:val="0"/>
          <w:color w:val="auto"/>
          <w:sz w:val="22"/>
          <w:szCs w:val="22"/>
        </w:rPr>
        <w:t>June</w:t>
      </w:r>
      <w:r w:rsidR="00D96C99" w:rsidRPr="00726F56">
        <w:rPr>
          <w:rFonts w:ascii="Arial" w:hAnsi="Arial" w:cs="Arial"/>
          <w:i w:val="0"/>
          <w:color w:val="auto"/>
          <w:sz w:val="22"/>
          <w:szCs w:val="22"/>
        </w:rPr>
        <w:t xml:space="preserve"> 2019</w:t>
      </w:r>
    </w:p>
    <w:p w:rsidR="00843EF1" w:rsidRPr="00726F56" w:rsidRDefault="00053BD3" w:rsidP="00726F56">
      <w:pPr>
        <w:pStyle w:val="Heading4"/>
        <w:tabs>
          <w:tab w:val="center" w:pos="4323"/>
          <w:tab w:val="left" w:pos="7785"/>
        </w:tabs>
        <w:jc w:val="center"/>
        <w:rPr>
          <w:rFonts w:ascii="Arial" w:hAnsi="Arial" w:cs="Arial"/>
          <w:i w:val="0"/>
          <w:color w:val="auto"/>
          <w:sz w:val="22"/>
          <w:szCs w:val="22"/>
        </w:rPr>
      </w:pPr>
      <w:proofErr w:type="gramStart"/>
      <w:r w:rsidRPr="00726F56">
        <w:rPr>
          <w:rFonts w:ascii="Arial" w:hAnsi="Arial" w:cs="Arial"/>
          <w:i w:val="0"/>
          <w:color w:val="auto"/>
          <w:sz w:val="22"/>
          <w:szCs w:val="22"/>
        </w:rPr>
        <w:t>at</w:t>
      </w:r>
      <w:proofErr w:type="gramEnd"/>
      <w:r w:rsidRPr="00726F56">
        <w:rPr>
          <w:rFonts w:ascii="Arial" w:hAnsi="Arial" w:cs="Arial"/>
          <w:i w:val="0"/>
          <w:color w:val="auto"/>
          <w:sz w:val="22"/>
          <w:szCs w:val="22"/>
        </w:rPr>
        <w:t xml:space="preserve"> 5.30pm in </w:t>
      </w:r>
      <w:r w:rsidR="00F6542C" w:rsidRPr="00726F56">
        <w:rPr>
          <w:rFonts w:ascii="Arial" w:hAnsi="Arial" w:cs="Arial"/>
          <w:i w:val="0"/>
          <w:color w:val="auto"/>
          <w:sz w:val="22"/>
          <w:szCs w:val="22"/>
        </w:rPr>
        <w:t>The Source</w:t>
      </w:r>
      <w:r w:rsidR="00843EF1" w:rsidRPr="00726F56">
        <w:rPr>
          <w:rFonts w:ascii="Arial" w:hAnsi="Arial" w:cs="Arial"/>
          <w:i w:val="0"/>
          <w:color w:val="auto"/>
          <w:sz w:val="22"/>
          <w:szCs w:val="22"/>
        </w:rPr>
        <w:t>, All Saints’ Building, Worcester</w:t>
      </w:r>
    </w:p>
    <w:p w:rsidR="004332BA" w:rsidRPr="00726F56" w:rsidRDefault="004332BA" w:rsidP="00726F56">
      <w:pPr>
        <w:jc w:val="both"/>
        <w:rPr>
          <w:sz w:val="22"/>
          <w:szCs w:val="22"/>
        </w:rPr>
      </w:pPr>
    </w:p>
    <w:tbl>
      <w:tblPr>
        <w:tblW w:w="8897" w:type="dxa"/>
        <w:tblLayout w:type="fixed"/>
        <w:tblLook w:val="04A0" w:firstRow="1" w:lastRow="0" w:firstColumn="1" w:lastColumn="0" w:noHBand="0" w:noVBand="1"/>
      </w:tblPr>
      <w:tblGrid>
        <w:gridCol w:w="2376"/>
        <w:gridCol w:w="1985"/>
        <w:gridCol w:w="4536"/>
      </w:tblGrid>
      <w:tr w:rsidR="004332BA" w:rsidRPr="00726F56" w:rsidTr="004B0A65">
        <w:tc>
          <w:tcPr>
            <w:tcW w:w="2376" w:type="dxa"/>
          </w:tcPr>
          <w:p w:rsidR="004332BA" w:rsidRPr="00726F56" w:rsidRDefault="004332BA" w:rsidP="00726F56">
            <w:pPr>
              <w:jc w:val="both"/>
              <w:rPr>
                <w:b/>
                <w:sz w:val="22"/>
                <w:szCs w:val="22"/>
              </w:rPr>
            </w:pPr>
            <w:r w:rsidRPr="00726F56">
              <w:rPr>
                <w:b/>
                <w:sz w:val="22"/>
                <w:szCs w:val="22"/>
              </w:rPr>
              <w:t>Present</w:t>
            </w:r>
          </w:p>
        </w:tc>
        <w:tc>
          <w:tcPr>
            <w:tcW w:w="1985" w:type="dxa"/>
          </w:tcPr>
          <w:p w:rsidR="004332BA" w:rsidRPr="00726F56" w:rsidRDefault="004332BA" w:rsidP="00726F56">
            <w:pPr>
              <w:jc w:val="both"/>
              <w:rPr>
                <w:sz w:val="22"/>
                <w:szCs w:val="22"/>
              </w:rPr>
            </w:pPr>
          </w:p>
        </w:tc>
        <w:tc>
          <w:tcPr>
            <w:tcW w:w="4536" w:type="dxa"/>
          </w:tcPr>
          <w:p w:rsidR="004332BA" w:rsidRPr="00726F56" w:rsidRDefault="004332BA" w:rsidP="00726F56">
            <w:pPr>
              <w:jc w:val="both"/>
              <w:rPr>
                <w:sz w:val="22"/>
                <w:szCs w:val="22"/>
              </w:rPr>
            </w:pPr>
          </w:p>
        </w:tc>
      </w:tr>
      <w:tr w:rsidR="004332BA" w:rsidRPr="00726F56" w:rsidTr="004B0A65">
        <w:tc>
          <w:tcPr>
            <w:tcW w:w="2376" w:type="dxa"/>
          </w:tcPr>
          <w:p w:rsidR="004332BA" w:rsidRPr="00726F56" w:rsidRDefault="004332BA" w:rsidP="00726F56">
            <w:pPr>
              <w:jc w:val="both"/>
              <w:rPr>
                <w:b/>
                <w:sz w:val="22"/>
                <w:szCs w:val="22"/>
              </w:rPr>
            </w:pPr>
            <w:r w:rsidRPr="00726F56">
              <w:rPr>
                <w:b/>
                <w:sz w:val="22"/>
                <w:szCs w:val="22"/>
              </w:rPr>
              <w:t>Governors:</w:t>
            </w:r>
          </w:p>
        </w:tc>
        <w:tc>
          <w:tcPr>
            <w:tcW w:w="1985" w:type="dxa"/>
          </w:tcPr>
          <w:p w:rsidR="004332BA" w:rsidRPr="00726F56" w:rsidRDefault="004332BA" w:rsidP="00726F56">
            <w:pPr>
              <w:jc w:val="both"/>
              <w:rPr>
                <w:sz w:val="22"/>
                <w:szCs w:val="22"/>
              </w:rPr>
            </w:pPr>
            <w:r w:rsidRPr="00726F56">
              <w:rPr>
                <w:sz w:val="22"/>
                <w:szCs w:val="22"/>
              </w:rPr>
              <w:t>Kevin Gaffney</w:t>
            </w:r>
          </w:p>
        </w:tc>
        <w:tc>
          <w:tcPr>
            <w:tcW w:w="4536" w:type="dxa"/>
            <w:hideMark/>
          </w:tcPr>
          <w:p w:rsidR="004332BA" w:rsidRPr="00726F56" w:rsidRDefault="004332BA" w:rsidP="00726F56">
            <w:pPr>
              <w:jc w:val="both"/>
              <w:rPr>
                <w:sz w:val="22"/>
                <w:szCs w:val="22"/>
              </w:rPr>
            </w:pPr>
            <w:r w:rsidRPr="00726F56">
              <w:rPr>
                <w:sz w:val="22"/>
                <w:szCs w:val="22"/>
              </w:rPr>
              <w:t xml:space="preserve">Chair </w:t>
            </w:r>
          </w:p>
        </w:tc>
      </w:tr>
      <w:tr w:rsidR="00D96C99" w:rsidRPr="00726F56" w:rsidTr="004B0A65">
        <w:tc>
          <w:tcPr>
            <w:tcW w:w="2376" w:type="dxa"/>
          </w:tcPr>
          <w:p w:rsidR="00D96C99" w:rsidRPr="00726F56" w:rsidRDefault="00D96C99" w:rsidP="00726F56">
            <w:pPr>
              <w:jc w:val="both"/>
              <w:rPr>
                <w:b/>
                <w:sz w:val="22"/>
                <w:szCs w:val="22"/>
              </w:rPr>
            </w:pPr>
          </w:p>
        </w:tc>
        <w:tc>
          <w:tcPr>
            <w:tcW w:w="1985" w:type="dxa"/>
          </w:tcPr>
          <w:p w:rsidR="00D96C99" w:rsidRPr="00726F56" w:rsidRDefault="00D96C99" w:rsidP="00726F56">
            <w:pPr>
              <w:jc w:val="both"/>
              <w:rPr>
                <w:sz w:val="22"/>
                <w:szCs w:val="22"/>
              </w:rPr>
            </w:pPr>
            <w:r w:rsidRPr="00726F56">
              <w:rPr>
                <w:sz w:val="22"/>
                <w:szCs w:val="22"/>
              </w:rPr>
              <w:t>Steve Bolton</w:t>
            </w:r>
          </w:p>
        </w:tc>
        <w:tc>
          <w:tcPr>
            <w:tcW w:w="4536" w:type="dxa"/>
          </w:tcPr>
          <w:p w:rsidR="00D96C99" w:rsidRPr="00726F56" w:rsidRDefault="00D96C99" w:rsidP="00726F56">
            <w:pPr>
              <w:jc w:val="both"/>
              <w:rPr>
                <w:sz w:val="22"/>
                <w:szCs w:val="22"/>
              </w:rPr>
            </w:pPr>
          </w:p>
        </w:tc>
      </w:tr>
      <w:tr w:rsidR="00D96C99" w:rsidRPr="00726F56" w:rsidTr="004B0A65">
        <w:tc>
          <w:tcPr>
            <w:tcW w:w="2376" w:type="dxa"/>
          </w:tcPr>
          <w:p w:rsidR="00D96C99" w:rsidRPr="00726F56" w:rsidRDefault="00D96C99" w:rsidP="00726F56">
            <w:pPr>
              <w:jc w:val="both"/>
              <w:rPr>
                <w:b/>
                <w:sz w:val="22"/>
                <w:szCs w:val="22"/>
              </w:rPr>
            </w:pPr>
          </w:p>
        </w:tc>
        <w:tc>
          <w:tcPr>
            <w:tcW w:w="1985" w:type="dxa"/>
          </w:tcPr>
          <w:p w:rsidR="00D96C99" w:rsidRPr="00726F56" w:rsidRDefault="00D96C99" w:rsidP="00726F56">
            <w:pPr>
              <w:jc w:val="both"/>
              <w:rPr>
                <w:sz w:val="22"/>
                <w:szCs w:val="22"/>
              </w:rPr>
            </w:pPr>
            <w:r w:rsidRPr="00726F56">
              <w:rPr>
                <w:sz w:val="22"/>
                <w:szCs w:val="22"/>
              </w:rPr>
              <w:t>Lucy Hodgson</w:t>
            </w:r>
          </w:p>
        </w:tc>
        <w:tc>
          <w:tcPr>
            <w:tcW w:w="4536" w:type="dxa"/>
          </w:tcPr>
          <w:p w:rsidR="00D96C99" w:rsidRPr="00726F56" w:rsidRDefault="00D96C99" w:rsidP="00726F56">
            <w:pPr>
              <w:jc w:val="both"/>
              <w:rPr>
                <w:sz w:val="22"/>
                <w:szCs w:val="22"/>
              </w:rPr>
            </w:pPr>
            <w:r w:rsidRPr="00726F56">
              <w:rPr>
                <w:sz w:val="22"/>
                <w:szCs w:val="22"/>
              </w:rPr>
              <w:t>Vice</w:t>
            </w:r>
            <w:r w:rsidR="00B75A93">
              <w:rPr>
                <w:sz w:val="22"/>
                <w:szCs w:val="22"/>
              </w:rPr>
              <w:t xml:space="preserve"> Chair</w:t>
            </w:r>
          </w:p>
        </w:tc>
      </w:tr>
      <w:tr w:rsidR="00D96C99" w:rsidRPr="00726F56" w:rsidTr="004B0A65">
        <w:tc>
          <w:tcPr>
            <w:tcW w:w="2376" w:type="dxa"/>
          </w:tcPr>
          <w:p w:rsidR="00D96C99" w:rsidRPr="00726F56" w:rsidRDefault="00D96C99" w:rsidP="00726F56">
            <w:pPr>
              <w:jc w:val="both"/>
              <w:rPr>
                <w:b/>
                <w:sz w:val="22"/>
                <w:szCs w:val="22"/>
              </w:rPr>
            </w:pPr>
          </w:p>
        </w:tc>
        <w:tc>
          <w:tcPr>
            <w:tcW w:w="1985" w:type="dxa"/>
          </w:tcPr>
          <w:p w:rsidR="00D96C99" w:rsidRPr="00726F56" w:rsidRDefault="00D96C99" w:rsidP="00726F56">
            <w:pPr>
              <w:jc w:val="both"/>
              <w:rPr>
                <w:sz w:val="22"/>
                <w:szCs w:val="22"/>
              </w:rPr>
            </w:pPr>
            <w:r w:rsidRPr="00726F56">
              <w:rPr>
                <w:sz w:val="22"/>
                <w:szCs w:val="22"/>
              </w:rPr>
              <w:t>Tony King</w:t>
            </w:r>
          </w:p>
        </w:tc>
        <w:tc>
          <w:tcPr>
            <w:tcW w:w="4536" w:type="dxa"/>
          </w:tcPr>
          <w:p w:rsidR="00D96C99" w:rsidRPr="00726F56" w:rsidRDefault="00D96C99" w:rsidP="00726F56">
            <w:pPr>
              <w:jc w:val="both"/>
              <w:rPr>
                <w:sz w:val="22"/>
                <w:szCs w:val="22"/>
              </w:rPr>
            </w:pPr>
          </w:p>
        </w:tc>
      </w:tr>
      <w:tr w:rsidR="00D96C99" w:rsidRPr="00726F56" w:rsidTr="004B0A65">
        <w:tc>
          <w:tcPr>
            <w:tcW w:w="2376" w:type="dxa"/>
          </w:tcPr>
          <w:p w:rsidR="00D96C99" w:rsidRPr="00726F56" w:rsidRDefault="00D96C99" w:rsidP="00726F56">
            <w:pPr>
              <w:jc w:val="both"/>
              <w:rPr>
                <w:b/>
                <w:sz w:val="22"/>
                <w:szCs w:val="22"/>
              </w:rPr>
            </w:pPr>
          </w:p>
        </w:tc>
        <w:tc>
          <w:tcPr>
            <w:tcW w:w="1985" w:type="dxa"/>
          </w:tcPr>
          <w:p w:rsidR="00D96C99" w:rsidRPr="00726F56" w:rsidRDefault="00D96C99" w:rsidP="00726F56">
            <w:pPr>
              <w:jc w:val="both"/>
              <w:rPr>
                <w:sz w:val="22"/>
                <w:szCs w:val="22"/>
              </w:rPr>
            </w:pPr>
            <w:r w:rsidRPr="00726F56">
              <w:rPr>
                <w:sz w:val="22"/>
                <w:szCs w:val="22"/>
              </w:rPr>
              <w:t>Denis Miles</w:t>
            </w:r>
          </w:p>
        </w:tc>
        <w:tc>
          <w:tcPr>
            <w:tcW w:w="4536" w:type="dxa"/>
          </w:tcPr>
          <w:p w:rsidR="00D96C99" w:rsidRPr="00726F56" w:rsidRDefault="00D96C99" w:rsidP="00726F56">
            <w:pPr>
              <w:jc w:val="both"/>
              <w:rPr>
                <w:sz w:val="22"/>
                <w:szCs w:val="22"/>
              </w:rPr>
            </w:pPr>
          </w:p>
        </w:tc>
      </w:tr>
      <w:tr w:rsidR="00D96C99" w:rsidRPr="00726F56" w:rsidTr="004B0A65">
        <w:tc>
          <w:tcPr>
            <w:tcW w:w="2376" w:type="dxa"/>
          </w:tcPr>
          <w:p w:rsidR="00D96C99" w:rsidRPr="00726F56" w:rsidRDefault="00D96C99" w:rsidP="00726F56">
            <w:pPr>
              <w:jc w:val="both"/>
              <w:rPr>
                <w:b/>
                <w:sz w:val="22"/>
                <w:szCs w:val="22"/>
              </w:rPr>
            </w:pPr>
          </w:p>
        </w:tc>
        <w:tc>
          <w:tcPr>
            <w:tcW w:w="1985" w:type="dxa"/>
          </w:tcPr>
          <w:p w:rsidR="00D96C99" w:rsidRPr="00726F56" w:rsidRDefault="00D96C99" w:rsidP="00726F56">
            <w:pPr>
              <w:jc w:val="both"/>
              <w:rPr>
                <w:bCs/>
                <w:sz w:val="22"/>
                <w:szCs w:val="22"/>
              </w:rPr>
            </w:pPr>
            <w:r w:rsidRPr="00726F56">
              <w:rPr>
                <w:sz w:val="22"/>
                <w:szCs w:val="22"/>
              </w:rPr>
              <w:t>Debbie Morris</w:t>
            </w:r>
          </w:p>
        </w:tc>
        <w:tc>
          <w:tcPr>
            <w:tcW w:w="4536" w:type="dxa"/>
          </w:tcPr>
          <w:p w:rsidR="00D96C99" w:rsidRPr="00726F56" w:rsidRDefault="00D96C99" w:rsidP="00726F56">
            <w:pPr>
              <w:jc w:val="both"/>
              <w:rPr>
                <w:sz w:val="22"/>
                <w:szCs w:val="22"/>
              </w:rPr>
            </w:pPr>
          </w:p>
        </w:tc>
      </w:tr>
      <w:tr w:rsidR="00D96C99" w:rsidRPr="00726F56" w:rsidTr="004B0A65">
        <w:tc>
          <w:tcPr>
            <w:tcW w:w="2376" w:type="dxa"/>
          </w:tcPr>
          <w:p w:rsidR="00D96C99" w:rsidRPr="00726F56" w:rsidRDefault="00D96C99" w:rsidP="00726F56">
            <w:pPr>
              <w:jc w:val="both"/>
              <w:rPr>
                <w:b/>
                <w:sz w:val="22"/>
                <w:szCs w:val="22"/>
              </w:rPr>
            </w:pPr>
          </w:p>
        </w:tc>
        <w:tc>
          <w:tcPr>
            <w:tcW w:w="1985" w:type="dxa"/>
          </w:tcPr>
          <w:p w:rsidR="00D96C99" w:rsidRPr="00726F56" w:rsidRDefault="00D96C99" w:rsidP="00726F56">
            <w:pPr>
              <w:jc w:val="both"/>
              <w:rPr>
                <w:sz w:val="22"/>
                <w:szCs w:val="22"/>
              </w:rPr>
            </w:pPr>
            <w:r w:rsidRPr="00726F56">
              <w:rPr>
                <w:bCs/>
                <w:sz w:val="22"/>
                <w:szCs w:val="22"/>
              </w:rPr>
              <w:t>Sue Nicholls</w:t>
            </w:r>
          </w:p>
        </w:tc>
        <w:tc>
          <w:tcPr>
            <w:tcW w:w="4536" w:type="dxa"/>
          </w:tcPr>
          <w:p w:rsidR="00D96C99" w:rsidRPr="00726F56" w:rsidRDefault="00D96C99" w:rsidP="00726F56">
            <w:pPr>
              <w:jc w:val="both"/>
              <w:rPr>
                <w:sz w:val="22"/>
                <w:szCs w:val="22"/>
              </w:rPr>
            </w:pPr>
          </w:p>
        </w:tc>
      </w:tr>
      <w:tr w:rsidR="00D96C99" w:rsidRPr="00726F56" w:rsidTr="004B0A65">
        <w:tc>
          <w:tcPr>
            <w:tcW w:w="2376" w:type="dxa"/>
          </w:tcPr>
          <w:p w:rsidR="00D96C99" w:rsidRPr="00726F56" w:rsidRDefault="00D96C99" w:rsidP="00726F56">
            <w:pPr>
              <w:jc w:val="both"/>
              <w:rPr>
                <w:b/>
                <w:sz w:val="22"/>
                <w:szCs w:val="22"/>
              </w:rPr>
            </w:pPr>
          </w:p>
        </w:tc>
        <w:tc>
          <w:tcPr>
            <w:tcW w:w="1985" w:type="dxa"/>
          </w:tcPr>
          <w:p w:rsidR="00D96C99" w:rsidRPr="00726F56" w:rsidRDefault="00D96C99" w:rsidP="00726F56">
            <w:pPr>
              <w:jc w:val="both"/>
              <w:rPr>
                <w:sz w:val="22"/>
                <w:szCs w:val="22"/>
              </w:rPr>
            </w:pPr>
          </w:p>
        </w:tc>
        <w:tc>
          <w:tcPr>
            <w:tcW w:w="4536" w:type="dxa"/>
          </w:tcPr>
          <w:p w:rsidR="00D96C99" w:rsidRPr="00726F56" w:rsidRDefault="00D96C99" w:rsidP="00726F56">
            <w:pPr>
              <w:jc w:val="both"/>
              <w:rPr>
                <w:sz w:val="22"/>
                <w:szCs w:val="22"/>
              </w:rPr>
            </w:pPr>
          </w:p>
        </w:tc>
      </w:tr>
      <w:tr w:rsidR="00D96C99" w:rsidRPr="00726F56" w:rsidTr="004B0A65">
        <w:tc>
          <w:tcPr>
            <w:tcW w:w="2376" w:type="dxa"/>
          </w:tcPr>
          <w:p w:rsidR="00D96C99" w:rsidRPr="00726F56" w:rsidRDefault="00D96C99" w:rsidP="00726F56">
            <w:pPr>
              <w:jc w:val="both"/>
              <w:rPr>
                <w:b/>
                <w:sz w:val="22"/>
                <w:szCs w:val="22"/>
              </w:rPr>
            </w:pPr>
            <w:r w:rsidRPr="00726F56">
              <w:rPr>
                <w:b/>
                <w:sz w:val="22"/>
                <w:szCs w:val="22"/>
              </w:rPr>
              <w:t>In Attendance:</w:t>
            </w:r>
          </w:p>
        </w:tc>
        <w:tc>
          <w:tcPr>
            <w:tcW w:w="1985" w:type="dxa"/>
          </w:tcPr>
          <w:p w:rsidR="00D96C99" w:rsidRPr="00726F56" w:rsidRDefault="00D96C99" w:rsidP="00726F56">
            <w:pPr>
              <w:jc w:val="both"/>
              <w:rPr>
                <w:sz w:val="22"/>
                <w:szCs w:val="22"/>
              </w:rPr>
            </w:pPr>
            <w:r w:rsidRPr="00726F56">
              <w:rPr>
                <w:sz w:val="22"/>
                <w:szCs w:val="22"/>
              </w:rPr>
              <w:t>Stuart Laverick</w:t>
            </w:r>
          </w:p>
        </w:tc>
        <w:tc>
          <w:tcPr>
            <w:tcW w:w="4536" w:type="dxa"/>
          </w:tcPr>
          <w:p w:rsidR="00D96C99" w:rsidRPr="00726F56" w:rsidRDefault="00D96C99" w:rsidP="00726F56">
            <w:pPr>
              <w:jc w:val="both"/>
              <w:rPr>
                <w:sz w:val="22"/>
                <w:szCs w:val="22"/>
              </w:rPr>
            </w:pPr>
            <w:r w:rsidRPr="00726F56">
              <w:rPr>
                <w:sz w:val="22"/>
                <w:szCs w:val="22"/>
              </w:rPr>
              <w:t>Principal</w:t>
            </w:r>
          </w:p>
        </w:tc>
      </w:tr>
      <w:tr w:rsidR="00D96C99" w:rsidRPr="00726F56" w:rsidTr="004B0A65">
        <w:tc>
          <w:tcPr>
            <w:tcW w:w="2376" w:type="dxa"/>
          </w:tcPr>
          <w:p w:rsidR="00D96C99" w:rsidRPr="00726F56" w:rsidRDefault="00D96C99" w:rsidP="00726F56">
            <w:pPr>
              <w:jc w:val="both"/>
              <w:rPr>
                <w:b/>
                <w:sz w:val="22"/>
                <w:szCs w:val="22"/>
              </w:rPr>
            </w:pPr>
          </w:p>
        </w:tc>
        <w:tc>
          <w:tcPr>
            <w:tcW w:w="1985" w:type="dxa"/>
          </w:tcPr>
          <w:p w:rsidR="00D96C99" w:rsidRPr="00726F56" w:rsidRDefault="00D96C99" w:rsidP="00726F56">
            <w:pPr>
              <w:jc w:val="both"/>
              <w:rPr>
                <w:sz w:val="22"/>
                <w:szCs w:val="22"/>
              </w:rPr>
            </w:pPr>
            <w:r w:rsidRPr="00726F56">
              <w:rPr>
                <w:bCs/>
                <w:sz w:val="22"/>
                <w:szCs w:val="22"/>
              </w:rPr>
              <w:t>Nicki Williams</w:t>
            </w:r>
          </w:p>
        </w:tc>
        <w:tc>
          <w:tcPr>
            <w:tcW w:w="4536" w:type="dxa"/>
          </w:tcPr>
          <w:p w:rsidR="00D96C99" w:rsidRPr="00726F56" w:rsidRDefault="00D96C99" w:rsidP="00726F56">
            <w:pPr>
              <w:jc w:val="both"/>
              <w:rPr>
                <w:sz w:val="22"/>
                <w:szCs w:val="22"/>
              </w:rPr>
            </w:pPr>
            <w:r w:rsidRPr="00726F56">
              <w:rPr>
                <w:bCs/>
                <w:sz w:val="22"/>
                <w:szCs w:val="22"/>
              </w:rPr>
              <w:t>Vice Principal and Deputy Chief Executive</w:t>
            </w:r>
            <w:r w:rsidRPr="00726F56">
              <w:rPr>
                <w:sz w:val="22"/>
                <w:szCs w:val="22"/>
              </w:rPr>
              <w:t xml:space="preserve"> Officer</w:t>
            </w:r>
          </w:p>
        </w:tc>
      </w:tr>
      <w:tr w:rsidR="00D96C99" w:rsidRPr="00726F56" w:rsidTr="004B0A65">
        <w:tc>
          <w:tcPr>
            <w:tcW w:w="2376" w:type="dxa"/>
          </w:tcPr>
          <w:p w:rsidR="00D96C99" w:rsidRPr="00726F56" w:rsidRDefault="00D96C99" w:rsidP="00726F56">
            <w:pPr>
              <w:jc w:val="both"/>
              <w:rPr>
                <w:b/>
                <w:sz w:val="22"/>
                <w:szCs w:val="22"/>
              </w:rPr>
            </w:pPr>
          </w:p>
        </w:tc>
        <w:tc>
          <w:tcPr>
            <w:tcW w:w="1985" w:type="dxa"/>
          </w:tcPr>
          <w:p w:rsidR="00D96C99" w:rsidRPr="00726F56" w:rsidRDefault="00D96C99" w:rsidP="00726F56">
            <w:pPr>
              <w:jc w:val="both"/>
              <w:rPr>
                <w:sz w:val="22"/>
                <w:szCs w:val="22"/>
              </w:rPr>
            </w:pPr>
            <w:r w:rsidRPr="00726F56">
              <w:rPr>
                <w:sz w:val="22"/>
                <w:szCs w:val="22"/>
              </w:rPr>
              <w:t>Cherie Clements</w:t>
            </w:r>
          </w:p>
        </w:tc>
        <w:tc>
          <w:tcPr>
            <w:tcW w:w="4536" w:type="dxa"/>
          </w:tcPr>
          <w:p w:rsidR="00D96C99" w:rsidRPr="00726F56" w:rsidRDefault="00D96C99" w:rsidP="00726F56">
            <w:pPr>
              <w:autoSpaceDE w:val="0"/>
              <w:autoSpaceDN w:val="0"/>
              <w:adjustRightInd w:val="0"/>
              <w:jc w:val="both"/>
              <w:rPr>
                <w:sz w:val="22"/>
                <w:szCs w:val="22"/>
              </w:rPr>
            </w:pPr>
            <w:r w:rsidRPr="00726F56">
              <w:rPr>
                <w:sz w:val="22"/>
                <w:szCs w:val="22"/>
              </w:rPr>
              <w:t>Director of Finance</w:t>
            </w:r>
          </w:p>
        </w:tc>
      </w:tr>
      <w:tr w:rsidR="004A3DFE" w:rsidRPr="00726F56" w:rsidTr="004B0A65">
        <w:tc>
          <w:tcPr>
            <w:tcW w:w="2376" w:type="dxa"/>
          </w:tcPr>
          <w:p w:rsidR="004A3DFE" w:rsidRPr="00726F56" w:rsidRDefault="004A3DFE" w:rsidP="00726F56">
            <w:pPr>
              <w:jc w:val="both"/>
              <w:rPr>
                <w:b/>
                <w:sz w:val="22"/>
                <w:szCs w:val="22"/>
              </w:rPr>
            </w:pPr>
          </w:p>
        </w:tc>
        <w:tc>
          <w:tcPr>
            <w:tcW w:w="1985" w:type="dxa"/>
          </w:tcPr>
          <w:p w:rsidR="004A3DFE" w:rsidRPr="00726F56" w:rsidRDefault="004A3DFE" w:rsidP="00726F56">
            <w:pPr>
              <w:jc w:val="both"/>
              <w:rPr>
                <w:sz w:val="22"/>
                <w:szCs w:val="22"/>
              </w:rPr>
            </w:pPr>
            <w:r w:rsidRPr="00726F56">
              <w:rPr>
                <w:sz w:val="22"/>
                <w:szCs w:val="22"/>
              </w:rPr>
              <w:t>Tony Green</w:t>
            </w:r>
          </w:p>
        </w:tc>
        <w:tc>
          <w:tcPr>
            <w:tcW w:w="4536" w:type="dxa"/>
          </w:tcPr>
          <w:p w:rsidR="004A3DFE" w:rsidRPr="00726F56" w:rsidRDefault="004A3DFE" w:rsidP="00726F56">
            <w:pPr>
              <w:jc w:val="both"/>
              <w:rPr>
                <w:sz w:val="22"/>
                <w:szCs w:val="22"/>
                <w:lang w:eastAsia="en-GB"/>
              </w:rPr>
            </w:pPr>
            <w:r w:rsidRPr="00726F56">
              <w:rPr>
                <w:bCs/>
                <w:sz w:val="22"/>
                <w:szCs w:val="22"/>
                <w:lang w:eastAsia="en-GB"/>
              </w:rPr>
              <w:t>Director, Funding, Data and External Contracts</w:t>
            </w:r>
          </w:p>
        </w:tc>
      </w:tr>
      <w:tr w:rsidR="004A3DFE" w:rsidRPr="00726F56" w:rsidTr="004B0A65">
        <w:tc>
          <w:tcPr>
            <w:tcW w:w="2376" w:type="dxa"/>
          </w:tcPr>
          <w:p w:rsidR="004A3DFE" w:rsidRPr="00726F56" w:rsidRDefault="004A3DFE" w:rsidP="00726F56">
            <w:pPr>
              <w:jc w:val="both"/>
              <w:rPr>
                <w:b/>
                <w:sz w:val="22"/>
                <w:szCs w:val="22"/>
              </w:rPr>
            </w:pPr>
          </w:p>
        </w:tc>
        <w:tc>
          <w:tcPr>
            <w:tcW w:w="1985" w:type="dxa"/>
          </w:tcPr>
          <w:p w:rsidR="004A3DFE" w:rsidRPr="00726F56" w:rsidRDefault="004A3DFE" w:rsidP="00726F56">
            <w:pPr>
              <w:jc w:val="both"/>
              <w:rPr>
                <w:sz w:val="22"/>
                <w:szCs w:val="22"/>
              </w:rPr>
            </w:pPr>
            <w:r w:rsidRPr="00726F56">
              <w:rPr>
                <w:sz w:val="22"/>
                <w:szCs w:val="22"/>
              </w:rPr>
              <w:t>Marc Harvey</w:t>
            </w:r>
          </w:p>
        </w:tc>
        <w:tc>
          <w:tcPr>
            <w:tcW w:w="4536" w:type="dxa"/>
          </w:tcPr>
          <w:p w:rsidR="004A3DFE" w:rsidRPr="00726F56" w:rsidRDefault="00996D9D" w:rsidP="00726F56">
            <w:pPr>
              <w:jc w:val="both"/>
              <w:rPr>
                <w:sz w:val="22"/>
                <w:szCs w:val="22"/>
              </w:rPr>
            </w:pPr>
            <w:r w:rsidRPr="00726F56">
              <w:rPr>
                <w:bCs/>
                <w:sz w:val="22"/>
                <w:szCs w:val="22"/>
              </w:rPr>
              <w:t>Assurance and Compliance Manager</w:t>
            </w:r>
          </w:p>
        </w:tc>
      </w:tr>
      <w:tr w:rsidR="00D96C99" w:rsidRPr="00726F56" w:rsidTr="004B0A65">
        <w:tc>
          <w:tcPr>
            <w:tcW w:w="2376" w:type="dxa"/>
          </w:tcPr>
          <w:p w:rsidR="00D96C99" w:rsidRPr="00726F56" w:rsidRDefault="00D96C99" w:rsidP="00726F56">
            <w:pPr>
              <w:jc w:val="both"/>
              <w:rPr>
                <w:b/>
                <w:sz w:val="22"/>
                <w:szCs w:val="22"/>
              </w:rPr>
            </w:pPr>
          </w:p>
        </w:tc>
        <w:tc>
          <w:tcPr>
            <w:tcW w:w="1985" w:type="dxa"/>
          </w:tcPr>
          <w:p w:rsidR="00D96C99" w:rsidRPr="00726F56" w:rsidRDefault="00D96C99" w:rsidP="00726F56">
            <w:pPr>
              <w:jc w:val="both"/>
              <w:rPr>
                <w:sz w:val="22"/>
                <w:szCs w:val="22"/>
              </w:rPr>
            </w:pPr>
            <w:r w:rsidRPr="00726F56">
              <w:rPr>
                <w:sz w:val="22"/>
                <w:szCs w:val="22"/>
              </w:rPr>
              <w:t>Louise Tweedie</w:t>
            </w:r>
          </w:p>
        </w:tc>
        <w:tc>
          <w:tcPr>
            <w:tcW w:w="4536" w:type="dxa"/>
          </w:tcPr>
          <w:p w:rsidR="00D96C99" w:rsidRPr="00726F56" w:rsidRDefault="00D96C99" w:rsidP="00726F56">
            <w:pPr>
              <w:jc w:val="both"/>
              <w:rPr>
                <w:bCs/>
                <w:sz w:val="22"/>
                <w:szCs w:val="22"/>
              </w:rPr>
            </w:pPr>
            <w:r w:rsidRPr="00726F56">
              <w:rPr>
                <w:sz w:val="22"/>
                <w:szCs w:val="22"/>
                <w:lang w:eastAsia="en-GB"/>
              </w:rPr>
              <w:t>Director</w:t>
            </w:r>
            <w:r w:rsidRPr="00726F56">
              <w:rPr>
                <w:bCs/>
                <w:sz w:val="22"/>
                <w:szCs w:val="22"/>
              </w:rPr>
              <w:t xml:space="preserve">, </w:t>
            </w:r>
            <w:r w:rsidRPr="00726F56">
              <w:rPr>
                <w:bCs/>
                <w:sz w:val="22"/>
                <w:szCs w:val="22"/>
                <w:lang w:eastAsia="en-GB"/>
              </w:rPr>
              <w:t>RSM Risk Assurance Services LLP</w:t>
            </w:r>
            <w:r w:rsidRPr="00726F56">
              <w:rPr>
                <w:bCs/>
                <w:sz w:val="22"/>
                <w:szCs w:val="22"/>
              </w:rPr>
              <w:t xml:space="preserve"> </w:t>
            </w:r>
            <w:r w:rsidRPr="00726F56">
              <w:rPr>
                <w:sz w:val="22"/>
                <w:szCs w:val="22"/>
              </w:rPr>
              <w:t>(Internal  Auditors)</w:t>
            </w:r>
          </w:p>
        </w:tc>
      </w:tr>
      <w:tr w:rsidR="00D96C99" w:rsidRPr="00726F56" w:rsidTr="004B0A65">
        <w:tc>
          <w:tcPr>
            <w:tcW w:w="2376" w:type="dxa"/>
          </w:tcPr>
          <w:p w:rsidR="00D96C99" w:rsidRPr="00726F56" w:rsidRDefault="00D96C99" w:rsidP="00726F56">
            <w:pPr>
              <w:jc w:val="both"/>
              <w:rPr>
                <w:b/>
                <w:sz w:val="22"/>
                <w:szCs w:val="22"/>
              </w:rPr>
            </w:pPr>
          </w:p>
        </w:tc>
        <w:tc>
          <w:tcPr>
            <w:tcW w:w="1985" w:type="dxa"/>
          </w:tcPr>
          <w:p w:rsidR="00D96C99" w:rsidRPr="00726F56" w:rsidRDefault="00D96C99" w:rsidP="00726F56">
            <w:pPr>
              <w:jc w:val="both"/>
              <w:rPr>
                <w:sz w:val="22"/>
                <w:szCs w:val="22"/>
              </w:rPr>
            </w:pPr>
            <w:r w:rsidRPr="00726F56">
              <w:rPr>
                <w:sz w:val="22"/>
                <w:szCs w:val="22"/>
              </w:rPr>
              <w:t>Katie Scott</w:t>
            </w:r>
          </w:p>
        </w:tc>
        <w:tc>
          <w:tcPr>
            <w:tcW w:w="4536" w:type="dxa"/>
          </w:tcPr>
          <w:p w:rsidR="00D96C99" w:rsidRPr="00726F56" w:rsidRDefault="00D96C99" w:rsidP="00726F56">
            <w:pPr>
              <w:jc w:val="both"/>
              <w:rPr>
                <w:sz w:val="22"/>
                <w:szCs w:val="22"/>
                <w:lang w:eastAsia="en-GB"/>
              </w:rPr>
            </w:pPr>
            <w:r w:rsidRPr="00726F56">
              <w:rPr>
                <w:sz w:val="22"/>
                <w:szCs w:val="22"/>
                <w:lang w:eastAsia="en-GB"/>
              </w:rPr>
              <w:t>Manager, KPMG (External Auditors)</w:t>
            </w:r>
          </w:p>
        </w:tc>
      </w:tr>
      <w:tr w:rsidR="00D96C99" w:rsidRPr="00726F56" w:rsidTr="004B0A65">
        <w:tc>
          <w:tcPr>
            <w:tcW w:w="2376" w:type="dxa"/>
          </w:tcPr>
          <w:p w:rsidR="00D96C99" w:rsidRPr="00726F56" w:rsidRDefault="00D96C99" w:rsidP="00726F56">
            <w:pPr>
              <w:jc w:val="both"/>
              <w:rPr>
                <w:b/>
                <w:sz w:val="22"/>
                <w:szCs w:val="22"/>
              </w:rPr>
            </w:pPr>
          </w:p>
        </w:tc>
        <w:tc>
          <w:tcPr>
            <w:tcW w:w="1985" w:type="dxa"/>
          </w:tcPr>
          <w:p w:rsidR="00D96C99" w:rsidRPr="00726F56" w:rsidRDefault="00D96C99" w:rsidP="00726F56">
            <w:pPr>
              <w:jc w:val="both"/>
              <w:rPr>
                <w:sz w:val="22"/>
                <w:szCs w:val="22"/>
              </w:rPr>
            </w:pPr>
          </w:p>
        </w:tc>
        <w:tc>
          <w:tcPr>
            <w:tcW w:w="4536" w:type="dxa"/>
          </w:tcPr>
          <w:p w:rsidR="00D96C99" w:rsidRPr="00726F56" w:rsidRDefault="00D96C99" w:rsidP="00726F56">
            <w:pPr>
              <w:jc w:val="both"/>
              <w:rPr>
                <w:sz w:val="22"/>
                <w:szCs w:val="22"/>
                <w:lang w:eastAsia="en-GB"/>
              </w:rPr>
            </w:pPr>
          </w:p>
        </w:tc>
      </w:tr>
      <w:tr w:rsidR="00D96C99" w:rsidRPr="00726F56" w:rsidTr="004B0A65">
        <w:tc>
          <w:tcPr>
            <w:tcW w:w="2376" w:type="dxa"/>
          </w:tcPr>
          <w:p w:rsidR="00D96C99" w:rsidRPr="00726F56" w:rsidRDefault="00D96C99" w:rsidP="00726F56">
            <w:pPr>
              <w:jc w:val="both"/>
              <w:rPr>
                <w:b/>
                <w:sz w:val="22"/>
                <w:szCs w:val="22"/>
              </w:rPr>
            </w:pPr>
          </w:p>
        </w:tc>
        <w:tc>
          <w:tcPr>
            <w:tcW w:w="1985" w:type="dxa"/>
          </w:tcPr>
          <w:p w:rsidR="00D96C99" w:rsidRPr="00726F56" w:rsidRDefault="00D96C99" w:rsidP="00726F56">
            <w:pPr>
              <w:jc w:val="both"/>
              <w:rPr>
                <w:sz w:val="22"/>
                <w:szCs w:val="22"/>
              </w:rPr>
            </w:pPr>
            <w:r w:rsidRPr="00726F56">
              <w:rPr>
                <w:sz w:val="22"/>
                <w:szCs w:val="22"/>
              </w:rPr>
              <w:t>Sue Frost</w:t>
            </w:r>
          </w:p>
        </w:tc>
        <w:tc>
          <w:tcPr>
            <w:tcW w:w="4536" w:type="dxa"/>
          </w:tcPr>
          <w:p w:rsidR="00D96C99" w:rsidRPr="00726F56" w:rsidRDefault="00D96C99" w:rsidP="00726F56">
            <w:pPr>
              <w:autoSpaceDE w:val="0"/>
              <w:autoSpaceDN w:val="0"/>
              <w:adjustRightInd w:val="0"/>
              <w:jc w:val="both"/>
              <w:rPr>
                <w:sz w:val="22"/>
                <w:szCs w:val="22"/>
              </w:rPr>
            </w:pPr>
            <w:r w:rsidRPr="00726F56">
              <w:rPr>
                <w:sz w:val="22"/>
                <w:szCs w:val="22"/>
              </w:rPr>
              <w:t xml:space="preserve">Clerk to the Corporation </w:t>
            </w:r>
          </w:p>
        </w:tc>
      </w:tr>
      <w:tr w:rsidR="00D96C99" w:rsidRPr="00726F56" w:rsidTr="004B0A65">
        <w:tc>
          <w:tcPr>
            <w:tcW w:w="2376" w:type="dxa"/>
          </w:tcPr>
          <w:p w:rsidR="00D96C99" w:rsidRPr="00726F56" w:rsidRDefault="00D96C99" w:rsidP="00726F56">
            <w:pPr>
              <w:jc w:val="both"/>
              <w:rPr>
                <w:b/>
                <w:sz w:val="22"/>
                <w:szCs w:val="22"/>
              </w:rPr>
            </w:pPr>
          </w:p>
        </w:tc>
        <w:tc>
          <w:tcPr>
            <w:tcW w:w="1985" w:type="dxa"/>
          </w:tcPr>
          <w:p w:rsidR="00D96C99" w:rsidRPr="00726F56" w:rsidRDefault="00D96C99" w:rsidP="00726F56">
            <w:pPr>
              <w:jc w:val="both"/>
              <w:rPr>
                <w:sz w:val="22"/>
                <w:szCs w:val="22"/>
              </w:rPr>
            </w:pPr>
          </w:p>
        </w:tc>
        <w:tc>
          <w:tcPr>
            <w:tcW w:w="4536" w:type="dxa"/>
          </w:tcPr>
          <w:p w:rsidR="00D96C99" w:rsidRPr="00726F56" w:rsidRDefault="00D96C99" w:rsidP="00726F56">
            <w:pPr>
              <w:autoSpaceDE w:val="0"/>
              <w:autoSpaceDN w:val="0"/>
              <w:adjustRightInd w:val="0"/>
              <w:jc w:val="both"/>
              <w:rPr>
                <w:sz w:val="22"/>
                <w:szCs w:val="22"/>
              </w:rPr>
            </w:pPr>
          </w:p>
        </w:tc>
      </w:tr>
    </w:tbl>
    <w:p w:rsidR="004332BA" w:rsidRPr="00726F56" w:rsidRDefault="004332BA" w:rsidP="00726F56">
      <w:pPr>
        <w:jc w:val="both"/>
        <w:rPr>
          <w:sz w:val="22"/>
          <w:szCs w:val="22"/>
        </w:rPr>
      </w:pPr>
    </w:p>
    <w:tbl>
      <w:tblPr>
        <w:tblStyle w:val="TableGrid"/>
        <w:tblW w:w="9038"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7"/>
        <w:gridCol w:w="7027"/>
        <w:gridCol w:w="1244"/>
      </w:tblGrid>
      <w:tr w:rsidR="007330DE" w:rsidRPr="00726F56" w:rsidTr="004562FD">
        <w:trPr>
          <w:tblHeader/>
          <w:jc w:val="center"/>
        </w:trPr>
        <w:tc>
          <w:tcPr>
            <w:tcW w:w="767" w:type="dxa"/>
          </w:tcPr>
          <w:p w:rsidR="007330DE" w:rsidRPr="00726F56" w:rsidRDefault="007330DE" w:rsidP="00726F56">
            <w:pPr>
              <w:jc w:val="both"/>
              <w:rPr>
                <w:b/>
                <w:sz w:val="22"/>
                <w:szCs w:val="22"/>
              </w:rPr>
            </w:pPr>
          </w:p>
        </w:tc>
        <w:tc>
          <w:tcPr>
            <w:tcW w:w="7027" w:type="dxa"/>
          </w:tcPr>
          <w:p w:rsidR="007330DE" w:rsidRPr="00726F56" w:rsidRDefault="007330DE" w:rsidP="00726F56">
            <w:pPr>
              <w:jc w:val="both"/>
              <w:rPr>
                <w:b/>
                <w:sz w:val="22"/>
                <w:szCs w:val="22"/>
              </w:rPr>
            </w:pPr>
          </w:p>
        </w:tc>
        <w:tc>
          <w:tcPr>
            <w:tcW w:w="1244" w:type="dxa"/>
          </w:tcPr>
          <w:p w:rsidR="007330DE" w:rsidRPr="00726F56" w:rsidRDefault="007330DE" w:rsidP="00726F56">
            <w:pPr>
              <w:jc w:val="both"/>
              <w:rPr>
                <w:b/>
                <w:sz w:val="22"/>
                <w:szCs w:val="22"/>
              </w:rPr>
            </w:pPr>
            <w:r w:rsidRPr="00726F56">
              <w:rPr>
                <w:b/>
                <w:sz w:val="22"/>
                <w:szCs w:val="22"/>
              </w:rPr>
              <w:t>Action</w:t>
            </w:r>
          </w:p>
        </w:tc>
      </w:tr>
      <w:tr w:rsidR="007330DE" w:rsidRPr="00726F56" w:rsidTr="004562FD">
        <w:trPr>
          <w:jc w:val="center"/>
        </w:trPr>
        <w:tc>
          <w:tcPr>
            <w:tcW w:w="767" w:type="dxa"/>
          </w:tcPr>
          <w:p w:rsidR="007330DE" w:rsidRPr="00726F56" w:rsidRDefault="00D96C99" w:rsidP="00726F56">
            <w:pPr>
              <w:jc w:val="both"/>
              <w:rPr>
                <w:b/>
                <w:sz w:val="22"/>
                <w:szCs w:val="22"/>
              </w:rPr>
            </w:pPr>
            <w:r w:rsidRPr="00726F56">
              <w:rPr>
                <w:b/>
                <w:sz w:val="22"/>
                <w:szCs w:val="22"/>
              </w:rPr>
              <w:t>17</w:t>
            </w:r>
            <w:r w:rsidR="007330DE" w:rsidRPr="00726F56">
              <w:rPr>
                <w:b/>
                <w:sz w:val="22"/>
                <w:szCs w:val="22"/>
              </w:rPr>
              <w:t>.1</w:t>
            </w:r>
          </w:p>
        </w:tc>
        <w:tc>
          <w:tcPr>
            <w:tcW w:w="7027" w:type="dxa"/>
          </w:tcPr>
          <w:p w:rsidR="007330DE" w:rsidRPr="00726F56" w:rsidRDefault="007330DE" w:rsidP="00726F56">
            <w:pPr>
              <w:jc w:val="both"/>
              <w:rPr>
                <w:b/>
                <w:sz w:val="22"/>
                <w:szCs w:val="22"/>
              </w:rPr>
            </w:pPr>
            <w:r w:rsidRPr="00726F56">
              <w:rPr>
                <w:b/>
                <w:sz w:val="22"/>
                <w:szCs w:val="22"/>
              </w:rPr>
              <w:t xml:space="preserve">Apologies </w:t>
            </w:r>
          </w:p>
        </w:tc>
        <w:tc>
          <w:tcPr>
            <w:tcW w:w="1244" w:type="dxa"/>
          </w:tcPr>
          <w:p w:rsidR="007330DE" w:rsidRPr="00726F56" w:rsidRDefault="007330DE" w:rsidP="00726F56">
            <w:pPr>
              <w:jc w:val="both"/>
              <w:rPr>
                <w:b/>
                <w:sz w:val="22"/>
                <w:szCs w:val="22"/>
              </w:rPr>
            </w:pPr>
          </w:p>
        </w:tc>
      </w:tr>
      <w:tr w:rsidR="007330DE" w:rsidRPr="00726F56" w:rsidTr="004562FD">
        <w:trPr>
          <w:jc w:val="center"/>
        </w:trPr>
        <w:tc>
          <w:tcPr>
            <w:tcW w:w="767" w:type="dxa"/>
          </w:tcPr>
          <w:p w:rsidR="007330DE" w:rsidRPr="00726F56" w:rsidRDefault="007330DE" w:rsidP="00726F56">
            <w:pPr>
              <w:jc w:val="both"/>
              <w:rPr>
                <w:b/>
                <w:sz w:val="22"/>
                <w:szCs w:val="22"/>
              </w:rPr>
            </w:pPr>
            <w:proofErr w:type="spellStart"/>
            <w:r w:rsidRPr="00726F56">
              <w:rPr>
                <w:b/>
                <w:sz w:val="22"/>
                <w:szCs w:val="22"/>
              </w:rPr>
              <w:t>i</w:t>
            </w:r>
            <w:proofErr w:type="spellEnd"/>
            <w:r w:rsidRPr="00726F56">
              <w:rPr>
                <w:b/>
                <w:sz w:val="22"/>
                <w:szCs w:val="22"/>
              </w:rPr>
              <w:t>)</w:t>
            </w:r>
          </w:p>
        </w:tc>
        <w:tc>
          <w:tcPr>
            <w:tcW w:w="7027" w:type="dxa"/>
          </w:tcPr>
          <w:p w:rsidR="00E95A39" w:rsidRPr="00726F56" w:rsidRDefault="001479AA" w:rsidP="00726F56">
            <w:pPr>
              <w:jc w:val="both"/>
              <w:rPr>
                <w:sz w:val="22"/>
                <w:szCs w:val="22"/>
              </w:rPr>
            </w:pPr>
            <w:r w:rsidRPr="00726F56">
              <w:rPr>
                <w:bCs/>
                <w:sz w:val="22"/>
                <w:szCs w:val="22"/>
              </w:rPr>
              <w:t>There were no a</w:t>
            </w:r>
            <w:r w:rsidR="007330DE" w:rsidRPr="00726F56">
              <w:rPr>
                <w:bCs/>
                <w:sz w:val="22"/>
                <w:szCs w:val="22"/>
              </w:rPr>
              <w:t>pologie</w:t>
            </w:r>
            <w:r w:rsidRPr="00726F56">
              <w:rPr>
                <w:bCs/>
                <w:sz w:val="22"/>
                <w:szCs w:val="22"/>
              </w:rPr>
              <w:t xml:space="preserve">s for absence.  </w:t>
            </w:r>
          </w:p>
        </w:tc>
        <w:tc>
          <w:tcPr>
            <w:tcW w:w="1244" w:type="dxa"/>
          </w:tcPr>
          <w:p w:rsidR="007330DE" w:rsidRPr="00726F56" w:rsidRDefault="007330DE" w:rsidP="00726F56">
            <w:pPr>
              <w:jc w:val="both"/>
              <w:rPr>
                <w:b/>
                <w:sz w:val="22"/>
                <w:szCs w:val="22"/>
              </w:rPr>
            </w:pPr>
          </w:p>
        </w:tc>
      </w:tr>
      <w:tr w:rsidR="0003097D" w:rsidRPr="00726F56" w:rsidTr="004562FD">
        <w:trPr>
          <w:jc w:val="center"/>
        </w:trPr>
        <w:tc>
          <w:tcPr>
            <w:tcW w:w="767" w:type="dxa"/>
          </w:tcPr>
          <w:p w:rsidR="0003097D" w:rsidRPr="00726F56" w:rsidRDefault="0003097D" w:rsidP="00726F56">
            <w:pPr>
              <w:jc w:val="both"/>
              <w:rPr>
                <w:b/>
                <w:sz w:val="22"/>
                <w:szCs w:val="22"/>
              </w:rPr>
            </w:pPr>
          </w:p>
        </w:tc>
        <w:tc>
          <w:tcPr>
            <w:tcW w:w="7027" w:type="dxa"/>
          </w:tcPr>
          <w:p w:rsidR="0003097D" w:rsidRPr="00726F56" w:rsidRDefault="0003097D" w:rsidP="00726F56">
            <w:pPr>
              <w:jc w:val="both"/>
              <w:rPr>
                <w:b/>
                <w:sz w:val="22"/>
                <w:szCs w:val="22"/>
              </w:rPr>
            </w:pPr>
          </w:p>
        </w:tc>
        <w:tc>
          <w:tcPr>
            <w:tcW w:w="1244" w:type="dxa"/>
          </w:tcPr>
          <w:p w:rsidR="0003097D" w:rsidRPr="00726F56" w:rsidRDefault="0003097D" w:rsidP="00726F56">
            <w:pPr>
              <w:jc w:val="both"/>
              <w:rPr>
                <w:b/>
                <w:sz w:val="22"/>
                <w:szCs w:val="22"/>
              </w:rPr>
            </w:pPr>
          </w:p>
        </w:tc>
      </w:tr>
      <w:tr w:rsidR="007330DE" w:rsidRPr="00726F56" w:rsidTr="004562FD">
        <w:trPr>
          <w:jc w:val="center"/>
        </w:trPr>
        <w:tc>
          <w:tcPr>
            <w:tcW w:w="767" w:type="dxa"/>
          </w:tcPr>
          <w:p w:rsidR="007330DE" w:rsidRPr="00726F56" w:rsidRDefault="00D96C99" w:rsidP="00726F56">
            <w:pPr>
              <w:jc w:val="both"/>
              <w:rPr>
                <w:b/>
                <w:sz w:val="22"/>
                <w:szCs w:val="22"/>
              </w:rPr>
            </w:pPr>
            <w:r w:rsidRPr="00726F56">
              <w:rPr>
                <w:b/>
                <w:sz w:val="22"/>
                <w:szCs w:val="22"/>
              </w:rPr>
              <w:t>17</w:t>
            </w:r>
            <w:r w:rsidR="007330DE" w:rsidRPr="00726F56">
              <w:rPr>
                <w:b/>
                <w:sz w:val="22"/>
                <w:szCs w:val="22"/>
              </w:rPr>
              <w:t>.2</w:t>
            </w:r>
          </w:p>
        </w:tc>
        <w:tc>
          <w:tcPr>
            <w:tcW w:w="7027" w:type="dxa"/>
          </w:tcPr>
          <w:p w:rsidR="007330DE" w:rsidRPr="00726F56" w:rsidRDefault="007330DE" w:rsidP="00726F56">
            <w:pPr>
              <w:jc w:val="both"/>
              <w:rPr>
                <w:b/>
                <w:sz w:val="22"/>
                <w:szCs w:val="22"/>
              </w:rPr>
            </w:pPr>
            <w:r w:rsidRPr="00726F56">
              <w:rPr>
                <w:b/>
                <w:sz w:val="22"/>
                <w:szCs w:val="22"/>
                <w:lang w:eastAsia="en-US"/>
              </w:rPr>
              <w:t>Declarations of Interest</w:t>
            </w:r>
          </w:p>
        </w:tc>
        <w:tc>
          <w:tcPr>
            <w:tcW w:w="1244" w:type="dxa"/>
          </w:tcPr>
          <w:p w:rsidR="007330DE" w:rsidRPr="00726F56" w:rsidRDefault="007330DE" w:rsidP="00726F56">
            <w:pPr>
              <w:jc w:val="both"/>
              <w:rPr>
                <w:b/>
                <w:sz w:val="22"/>
                <w:szCs w:val="22"/>
              </w:rPr>
            </w:pPr>
          </w:p>
        </w:tc>
      </w:tr>
      <w:tr w:rsidR="007330DE" w:rsidRPr="00726F56" w:rsidTr="004562FD">
        <w:trPr>
          <w:jc w:val="center"/>
        </w:trPr>
        <w:tc>
          <w:tcPr>
            <w:tcW w:w="767" w:type="dxa"/>
          </w:tcPr>
          <w:p w:rsidR="007330DE" w:rsidRPr="00726F56" w:rsidRDefault="007330DE" w:rsidP="00726F56">
            <w:pPr>
              <w:jc w:val="both"/>
              <w:rPr>
                <w:b/>
                <w:sz w:val="22"/>
                <w:szCs w:val="22"/>
              </w:rPr>
            </w:pPr>
            <w:proofErr w:type="spellStart"/>
            <w:r w:rsidRPr="00726F56">
              <w:rPr>
                <w:b/>
                <w:sz w:val="22"/>
                <w:szCs w:val="22"/>
              </w:rPr>
              <w:t>i</w:t>
            </w:r>
            <w:proofErr w:type="spellEnd"/>
            <w:r w:rsidRPr="00726F56">
              <w:rPr>
                <w:b/>
                <w:sz w:val="22"/>
                <w:szCs w:val="22"/>
              </w:rPr>
              <w:t>)</w:t>
            </w:r>
          </w:p>
        </w:tc>
        <w:tc>
          <w:tcPr>
            <w:tcW w:w="7027" w:type="dxa"/>
          </w:tcPr>
          <w:p w:rsidR="007330DE" w:rsidRPr="00726F56" w:rsidRDefault="007330DE" w:rsidP="00726F56">
            <w:pPr>
              <w:jc w:val="both"/>
              <w:rPr>
                <w:b/>
                <w:sz w:val="22"/>
                <w:szCs w:val="22"/>
              </w:rPr>
            </w:pPr>
            <w:r w:rsidRPr="00726F56">
              <w:rPr>
                <w:sz w:val="22"/>
                <w:szCs w:val="22"/>
              </w:rPr>
              <w:t>Members were asked to declare any Interests, financial or otherwise, which they may have in any Agenda Item and confirmed that they had none.</w:t>
            </w:r>
          </w:p>
        </w:tc>
        <w:tc>
          <w:tcPr>
            <w:tcW w:w="1244" w:type="dxa"/>
          </w:tcPr>
          <w:p w:rsidR="007330DE" w:rsidRPr="00726F56" w:rsidRDefault="007330DE" w:rsidP="00726F56">
            <w:pPr>
              <w:jc w:val="both"/>
              <w:rPr>
                <w:b/>
                <w:sz w:val="22"/>
                <w:szCs w:val="22"/>
              </w:rPr>
            </w:pPr>
          </w:p>
        </w:tc>
      </w:tr>
      <w:tr w:rsidR="007330DE" w:rsidRPr="00726F56" w:rsidTr="004562FD">
        <w:trPr>
          <w:jc w:val="center"/>
        </w:trPr>
        <w:tc>
          <w:tcPr>
            <w:tcW w:w="767" w:type="dxa"/>
          </w:tcPr>
          <w:p w:rsidR="007330DE" w:rsidRPr="00726F56" w:rsidRDefault="007330DE" w:rsidP="00726F56">
            <w:pPr>
              <w:jc w:val="both"/>
              <w:rPr>
                <w:b/>
                <w:sz w:val="22"/>
                <w:szCs w:val="22"/>
              </w:rPr>
            </w:pPr>
          </w:p>
        </w:tc>
        <w:tc>
          <w:tcPr>
            <w:tcW w:w="7027" w:type="dxa"/>
          </w:tcPr>
          <w:p w:rsidR="007330DE" w:rsidRPr="00726F56" w:rsidRDefault="007330DE" w:rsidP="00726F56">
            <w:pPr>
              <w:jc w:val="both"/>
              <w:rPr>
                <w:b/>
                <w:sz w:val="22"/>
                <w:szCs w:val="22"/>
              </w:rPr>
            </w:pPr>
          </w:p>
        </w:tc>
        <w:tc>
          <w:tcPr>
            <w:tcW w:w="1244" w:type="dxa"/>
          </w:tcPr>
          <w:p w:rsidR="007330DE" w:rsidRPr="00726F56" w:rsidRDefault="007330DE" w:rsidP="00726F56">
            <w:pPr>
              <w:jc w:val="both"/>
              <w:rPr>
                <w:b/>
                <w:sz w:val="22"/>
                <w:szCs w:val="22"/>
              </w:rPr>
            </w:pPr>
          </w:p>
        </w:tc>
      </w:tr>
      <w:tr w:rsidR="00E95A39" w:rsidRPr="00726F56" w:rsidTr="004562FD">
        <w:trPr>
          <w:jc w:val="center"/>
        </w:trPr>
        <w:tc>
          <w:tcPr>
            <w:tcW w:w="767" w:type="dxa"/>
          </w:tcPr>
          <w:p w:rsidR="00E95A39" w:rsidRPr="00726F56" w:rsidRDefault="00D96C99" w:rsidP="00726F56">
            <w:pPr>
              <w:jc w:val="both"/>
              <w:rPr>
                <w:b/>
                <w:sz w:val="22"/>
                <w:szCs w:val="22"/>
              </w:rPr>
            </w:pPr>
            <w:r w:rsidRPr="00726F56">
              <w:rPr>
                <w:b/>
                <w:sz w:val="22"/>
                <w:szCs w:val="22"/>
              </w:rPr>
              <w:t>17</w:t>
            </w:r>
            <w:r w:rsidR="00E95A39" w:rsidRPr="00726F56">
              <w:rPr>
                <w:b/>
                <w:sz w:val="22"/>
                <w:szCs w:val="22"/>
              </w:rPr>
              <w:t>.3</w:t>
            </w:r>
          </w:p>
        </w:tc>
        <w:tc>
          <w:tcPr>
            <w:tcW w:w="7027" w:type="dxa"/>
          </w:tcPr>
          <w:p w:rsidR="00E95A39" w:rsidRPr="00726F56" w:rsidRDefault="00E95A39" w:rsidP="00726F56">
            <w:pPr>
              <w:jc w:val="both"/>
              <w:rPr>
                <w:b/>
                <w:sz w:val="22"/>
                <w:szCs w:val="22"/>
              </w:rPr>
            </w:pPr>
            <w:r w:rsidRPr="00726F56">
              <w:rPr>
                <w:b/>
                <w:sz w:val="22"/>
                <w:szCs w:val="22"/>
              </w:rPr>
              <w:t>Audit Committee Concerns</w:t>
            </w:r>
          </w:p>
        </w:tc>
        <w:tc>
          <w:tcPr>
            <w:tcW w:w="1244" w:type="dxa"/>
          </w:tcPr>
          <w:p w:rsidR="00E95A39" w:rsidRPr="00726F56" w:rsidRDefault="00E95A39" w:rsidP="00726F56">
            <w:pPr>
              <w:jc w:val="both"/>
              <w:rPr>
                <w:b/>
                <w:sz w:val="22"/>
                <w:szCs w:val="22"/>
              </w:rPr>
            </w:pPr>
          </w:p>
        </w:tc>
      </w:tr>
      <w:tr w:rsidR="00E95A39" w:rsidRPr="00726F56" w:rsidTr="004562FD">
        <w:trPr>
          <w:jc w:val="center"/>
        </w:trPr>
        <w:tc>
          <w:tcPr>
            <w:tcW w:w="767" w:type="dxa"/>
          </w:tcPr>
          <w:p w:rsidR="00E95A39" w:rsidRPr="00726F56" w:rsidRDefault="00E95A39" w:rsidP="00726F56">
            <w:pPr>
              <w:jc w:val="both"/>
              <w:rPr>
                <w:b/>
                <w:sz w:val="22"/>
                <w:szCs w:val="22"/>
              </w:rPr>
            </w:pPr>
            <w:proofErr w:type="spellStart"/>
            <w:r w:rsidRPr="00726F56">
              <w:rPr>
                <w:b/>
                <w:sz w:val="22"/>
                <w:szCs w:val="22"/>
              </w:rPr>
              <w:t>i</w:t>
            </w:r>
            <w:proofErr w:type="spellEnd"/>
            <w:r w:rsidRPr="00726F56">
              <w:rPr>
                <w:b/>
                <w:sz w:val="22"/>
                <w:szCs w:val="22"/>
              </w:rPr>
              <w:t>)</w:t>
            </w:r>
          </w:p>
        </w:tc>
        <w:tc>
          <w:tcPr>
            <w:tcW w:w="7027" w:type="dxa"/>
          </w:tcPr>
          <w:p w:rsidR="00E95A39" w:rsidRPr="00726F56" w:rsidRDefault="00E95A39" w:rsidP="00726F56">
            <w:pPr>
              <w:jc w:val="both"/>
              <w:rPr>
                <w:sz w:val="22"/>
                <w:szCs w:val="22"/>
              </w:rPr>
            </w:pPr>
            <w:r w:rsidRPr="00726F56">
              <w:rPr>
                <w:sz w:val="22"/>
                <w:szCs w:val="22"/>
              </w:rPr>
              <w:t>Members were invited to raise any issues which they wish to discuss in the absence of College Management and Auditors and all confirmed that there were none.</w:t>
            </w:r>
          </w:p>
        </w:tc>
        <w:tc>
          <w:tcPr>
            <w:tcW w:w="1244" w:type="dxa"/>
          </w:tcPr>
          <w:p w:rsidR="00E95A39" w:rsidRPr="00726F56" w:rsidRDefault="00E95A39" w:rsidP="00726F56">
            <w:pPr>
              <w:jc w:val="both"/>
              <w:rPr>
                <w:b/>
                <w:sz w:val="22"/>
                <w:szCs w:val="22"/>
              </w:rPr>
            </w:pPr>
          </w:p>
        </w:tc>
      </w:tr>
      <w:tr w:rsidR="00E95A39" w:rsidRPr="00726F56" w:rsidTr="004562FD">
        <w:trPr>
          <w:jc w:val="center"/>
        </w:trPr>
        <w:tc>
          <w:tcPr>
            <w:tcW w:w="767" w:type="dxa"/>
          </w:tcPr>
          <w:p w:rsidR="00E95A39" w:rsidRPr="00726F56" w:rsidRDefault="00E95A39" w:rsidP="00726F56">
            <w:pPr>
              <w:jc w:val="both"/>
              <w:rPr>
                <w:b/>
                <w:sz w:val="22"/>
                <w:szCs w:val="22"/>
              </w:rPr>
            </w:pPr>
          </w:p>
        </w:tc>
        <w:tc>
          <w:tcPr>
            <w:tcW w:w="7027" w:type="dxa"/>
          </w:tcPr>
          <w:p w:rsidR="00E95A39" w:rsidRPr="00726F56" w:rsidRDefault="00E95A39" w:rsidP="00726F56">
            <w:pPr>
              <w:jc w:val="both"/>
              <w:rPr>
                <w:b/>
                <w:sz w:val="22"/>
                <w:szCs w:val="22"/>
              </w:rPr>
            </w:pPr>
          </w:p>
        </w:tc>
        <w:tc>
          <w:tcPr>
            <w:tcW w:w="1244" w:type="dxa"/>
          </w:tcPr>
          <w:p w:rsidR="00E95A39" w:rsidRPr="00726F56" w:rsidRDefault="00E95A39" w:rsidP="00726F56">
            <w:pPr>
              <w:jc w:val="both"/>
              <w:rPr>
                <w:b/>
                <w:sz w:val="22"/>
                <w:szCs w:val="22"/>
              </w:rPr>
            </w:pPr>
          </w:p>
        </w:tc>
      </w:tr>
      <w:tr w:rsidR="00E95A39" w:rsidRPr="00726F56" w:rsidTr="004562FD">
        <w:trPr>
          <w:jc w:val="center"/>
        </w:trPr>
        <w:tc>
          <w:tcPr>
            <w:tcW w:w="767" w:type="dxa"/>
          </w:tcPr>
          <w:p w:rsidR="00E95A39" w:rsidRPr="00726F56" w:rsidRDefault="00E95A39" w:rsidP="00726F56">
            <w:pPr>
              <w:jc w:val="both"/>
              <w:rPr>
                <w:b/>
                <w:sz w:val="22"/>
                <w:szCs w:val="22"/>
              </w:rPr>
            </w:pPr>
          </w:p>
        </w:tc>
        <w:tc>
          <w:tcPr>
            <w:tcW w:w="7027" w:type="dxa"/>
          </w:tcPr>
          <w:p w:rsidR="00E95A39" w:rsidRPr="00726F56" w:rsidRDefault="004562FD" w:rsidP="00726F56">
            <w:pPr>
              <w:jc w:val="both"/>
              <w:rPr>
                <w:bCs/>
                <w:i/>
                <w:iCs/>
                <w:sz w:val="22"/>
                <w:szCs w:val="22"/>
              </w:rPr>
            </w:pPr>
            <w:r w:rsidRPr="00726F56">
              <w:rPr>
                <w:i/>
                <w:sz w:val="22"/>
                <w:szCs w:val="22"/>
              </w:rPr>
              <w:t>Louise Tweedie, Director</w:t>
            </w:r>
            <w:r w:rsidR="00E80E97" w:rsidRPr="00726F56">
              <w:rPr>
                <w:i/>
                <w:sz w:val="22"/>
                <w:szCs w:val="22"/>
              </w:rPr>
              <w:t xml:space="preserve">, </w:t>
            </w:r>
            <w:r w:rsidR="00E95A39" w:rsidRPr="00726F56">
              <w:rPr>
                <w:i/>
                <w:sz w:val="22"/>
                <w:szCs w:val="22"/>
              </w:rPr>
              <w:t>RSM</w:t>
            </w:r>
            <w:r w:rsidR="00E95A39" w:rsidRPr="00726F56">
              <w:rPr>
                <w:bCs/>
                <w:i/>
                <w:sz w:val="22"/>
                <w:szCs w:val="22"/>
              </w:rPr>
              <w:t xml:space="preserve"> Risk Assurance Services LLP</w:t>
            </w:r>
            <w:r w:rsidR="00E80E97" w:rsidRPr="00726F56">
              <w:rPr>
                <w:bCs/>
                <w:i/>
                <w:iCs/>
                <w:sz w:val="22"/>
                <w:szCs w:val="22"/>
              </w:rPr>
              <w:t xml:space="preserve"> </w:t>
            </w:r>
            <w:r w:rsidRPr="00726F56">
              <w:rPr>
                <w:bCs/>
                <w:i/>
                <w:iCs/>
                <w:sz w:val="22"/>
                <w:szCs w:val="22"/>
              </w:rPr>
              <w:t xml:space="preserve">and </w:t>
            </w:r>
            <w:r w:rsidRPr="00726F56">
              <w:rPr>
                <w:i/>
                <w:sz w:val="22"/>
                <w:szCs w:val="22"/>
              </w:rPr>
              <w:t xml:space="preserve">Katie Scott, Manager, KPMG, </w:t>
            </w:r>
            <w:r w:rsidRPr="00726F56">
              <w:rPr>
                <w:bCs/>
                <w:i/>
                <w:iCs/>
                <w:sz w:val="22"/>
                <w:szCs w:val="22"/>
              </w:rPr>
              <w:t>joined</w:t>
            </w:r>
            <w:r w:rsidR="00E80E97" w:rsidRPr="00726F56">
              <w:rPr>
                <w:bCs/>
                <w:i/>
                <w:iCs/>
                <w:sz w:val="22"/>
                <w:szCs w:val="22"/>
              </w:rPr>
              <w:t xml:space="preserve"> </w:t>
            </w:r>
            <w:r w:rsidR="00E95A39" w:rsidRPr="00726F56">
              <w:rPr>
                <w:bCs/>
                <w:i/>
                <w:iCs/>
                <w:sz w:val="22"/>
                <w:szCs w:val="22"/>
              </w:rPr>
              <w:t>the meeting at this point</w:t>
            </w:r>
          </w:p>
        </w:tc>
        <w:tc>
          <w:tcPr>
            <w:tcW w:w="1244" w:type="dxa"/>
          </w:tcPr>
          <w:p w:rsidR="00E95A39" w:rsidRPr="00726F56" w:rsidRDefault="00E95A39" w:rsidP="00726F56">
            <w:pPr>
              <w:jc w:val="both"/>
              <w:rPr>
                <w:b/>
                <w:sz w:val="22"/>
                <w:szCs w:val="22"/>
              </w:rPr>
            </w:pPr>
          </w:p>
        </w:tc>
      </w:tr>
      <w:tr w:rsidR="00E95A39" w:rsidRPr="00726F56" w:rsidTr="004562FD">
        <w:trPr>
          <w:jc w:val="center"/>
        </w:trPr>
        <w:tc>
          <w:tcPr>
            <w:tcW w:w="767" w:type="dxa"/>
          </w:tcPr>
          <w:p w:rsidR="00E95A39" w:rsidRPr="00726F56" w:rsidRDefault="00E95A39" w:rsidP="00726F56">
            <w:pPr>
              <w:jc w:val="both"/>
              <w:rPr>
                <w:b/>
                <w:sz w:val="22"/>
                <w:szCs w:val="22"/>
              </w:rPr>
            </w:pPr>
          </w:p>
        </w:tc>
        <w:tc>
          <w:tcPr>
            <w:tcW w:w="7027" w:type="dxa"/>
          </w:tcPr>
          <w:p w:rsidR="00E95A39" w:rsidRPr="00726F56" w:rsidRDefault="00E95A39" w:rsidP="00726F56">
            <w:pPr>
              <w:jc w:val="both"/>
              <w:rPr>
                <w:b/>
                <w:sz w:val="22"/>
                <w:szCs w:val="22"/>
              </w:rPr>
            </w:pPr>
          </w:p>
        </w:tc>
        <w:tc>
          <w:tcPr>
            <w:tcW w:w="1244" w:type="dxa"/>
          </w:tcPr>
          <w:p w:rsidR="00E95A39" w:rsidRPr="00726F56" w:rsidRDefault="00E95A39" w:rsidP="00726F56">
            <w:pPr>
              <w:jc w:val="both"/>
              <w:rPr>
                <w:b/>
                <w:sz w:val="22"/>
                <w:szCs w:val="22"/>
              </w:rPr>
            </w:pPr>
          </w:p>
        </w:tc>
      </w:tr>
      <w:tr w:rsidR="00E95A39" w:rsidRPr="00726F56" w:rsidTr="004562FD">
        <w:trPr>
          <w:jc w:val="center"/>
        </w:trPr>
        <w:tc>
          <w:tcPr>
            <w:tcW w:w="767" w:type="dxa"/>
          </w:tcPr>
          <w:p w:rsidR="00E95A39" w:rsidRPr="00726F56" w:rsidRDefault="00D96C99" w:rsidP="00726F56">
            <w:pPr>
              <w:jc w:val="both"/>
              <w:rPr>
                <w:b/>
                <w:sz w:val="22"/>
                <w:szCs w:val="22"/>
              </w:rPr>
            </w:pPr>
            <w:r w:rsidRPr="00726F56">
              <w:rPr>
                <w:b/>
                <w:sz w:val="22"/>
                <w:szCs w:val="22"/>
              </w:rPr>
              <w:t>17</w:t>
            </w:r>
            <w:r w:rsidR="00E95A39" w:rsidRPr="00726F56">
              <w:rPr>
                <w:b/>
                <w:sz w:val="22"/>
                <w:szCs w:val="22"/>
              </w:rPr>
              <w:t>.4</w:t>
            </w:r>
          </w:p>
        </w:tc>
        <w:tc>
          <w:tcPr>
            <w:tcW w:w="7027" w:type="dxa"/>
          </w:tcPr>
          <w:p w:rsidR="00E95A39" w:rsidRPr="00726F56" w:rsidRDefault="00E95A39" w:rsidP="00726F56">
            <w:pPr>
              <w:jc w:val="both"/>
              <w:rPr>
                <w:b/>
                <w:sz w:val="22"/>
                <w:szCs w:val="22"/>
              </w:rPr>
            </w:pPr>
            <w:r w:rsidRPr="00726F56">
              <w:rPr>
                <w:b/>
                <w:sz w:val="22"/>
                <w:szCs w:val="22"/>
              </w:rPr>
              <w:t>Auditor Concerns</w:t>
            </w:r>
          </w:p>
        </w:tc>
        <w:tc>
          <w:tcPr>
            <w:tcW w:w="1244" w:type="dxa"/>
          </w:tcPr>
          <w:p w:rsidR="00E95A39" w:rsidRPr="00726F56" w:rsidRDefault="00E95A39" w:rsidP="00726F56">
            <w:pPr>
              <w:jc w:val="both"/>
              <w:rPr>
                <w:b/>
                <w:sz w:val="22"/>
                <w:szCs w:val="22"/>
              </w:rPr>
            </w:pPr>
          </w:p>
        </w:tc>
      </w:tr>
      <w:tr w:rsidR="00E95A39" w:rsidRPr="00726F56" w:rsidTr="004562FD">
        <w:trPr>
          <w:jc w:val="center"/>
        </w:trPr>
        <w:tc>
          <w:tcPr>
            <w:tcW w:w="767" w:type="dxa"/>
          </w:tcPr>
          <w:p w:rsidR="00E95A39" w:rsidRPr="00726F56" w:rsidRDefault="00E95A39" w:rsidP="00726F56">
            <w:pPr>
              <w:jc w:val="both"/>
              <w:rPr>
                <w:b/>
                <w:sz w:val="22"/>
                <w:szCs w:val="22"/>
              </w:rPr>
            </w:pPr>
            <w:proofErr w:type="spellStart"/>
            <w:r w:rsidRPr="00726F56">
              <w:rPr>
                <w:b/>
                <w:sz w:val="22"/>
                <w:szCs w:val="22"/>
              </w:rPr>
              <w:lastRenderedPageBreak/>
              <w:t>i</w:t>
            </w:r>
            <w:proofErr w:type="spellEnd"/>
            <w:r w:rsidRPr="00726F56">
              <w:rPr>
                <w:b/>
                <w:sz w:val="22"/>
                <w:szCs w:val="22"/>
              </w:rPr>
              <w:t>)</w:t>
            </w:r>
          </w:p>
        </w:tc>
        <w:tc>
          <w:tcPr>
            <w:tcW w:w="7027" w:type="dxa"/>
          </w:tcPr>
          <w:p w:rsidR="00E95A39" w:rsidRPr="00726F56" w:rsidRDefault="00E21142" w:rsidP="00726F56">
            <w:pPr>
              <w:jc w:val="both"/>
              <w:rPr>
                <w:sz w:val="22"/>
                <w:szCs w:val="22"/>
              </w:rPr>
            </w:pPr>
            <w:r w:rsidRPr="00726F56">
              <w:rPr>
                <w:sz w:val="22"/>
                <w:szCs w:val="22"/>
              </w:rPr>
              <w:t xml:space="preserve">The </w:t>
            </w:r>
            <w:r w:rsidR="00E95A39" w:rsidRPr="00726F56">
              <w:rPr>
                <w:sz w:val="22"/>
                <w:szCs w:val="22"/>
              </w:rPr>
              <w:t xml:space="preserve">Auditors </w:t>
            </w:r>
            <w:r w:rsidRPr="00726F56">
              <w:rPr>
                <w:sz w:val="22"/>
                <w:szCs w:val="22"/>
              </w:rPr>
              <w:t>we</w:t>
            </w:r>
            <w:r w:rsidR="00E95A39" w:rsidRPr="00726F56">
              <w:rPr>
                <w:sz w:val="22"/>
                <w:szCs w:val="22"/>
              </w:rPr>
              <w:t>re invited to raise any issues which they wish to discuss in the absence of College Management</w:t>
            </w:r>
            <w:r w:rsidRPr="00726F56">
              <w:rPr>
                <w:sz w:val="22"/>
                <w:szCs w:val="22"/>
              </w:rPr>
              <w:t xml:space="preserve"> and all confirmed that there were none.</w:t>
            </w:r>
          </w:p>
        </w:tc>
        <w:tc>
          <w:tcPr>
            <w:tcW w:w="1244" w:type="dxa"/>
          </w:tcPr>
          <w:p w:rsidR="00E95A39" w:rsidRPr="00726F56" w:rsidRDefault="00E95A39" w:rsidP="00726F56">
            <w:pPr>
              <w:jc w:val="both"/>
              <w:rPr>
                <w:b/>
                <w:sz w:val="22"/>
                <w:szCs w:val="22"/>
              </w:rPr>
            </w:pPr>
          </w:p>
        </w:tc>
      </w:tr>
      <w:tr w:rsidR="00E95A39" w:rsidRPr="00726F56" w:rsidTr="004562FD">
        <w:trPr>
          <w:jc w:val="center"/>
        </w:trPr>
        <w:tc>
          <w:tcPr>
            <w:tcW w:w="767" w:type="dxa"/>
          </w:tcPr>
          <w:p w:rsidR="00E95A39" w:rsidRPr="00726F56" w:rsidRDefault="00E95A39" w:rsidP="00726F56">
            <w:pPr>
              <w:jc w:val="both"/>
              <w:rPr>
                <w:b/>
                <w:sz w:val="22"/>
                <w:szCs w:val="22"/>
              </w:rPr>
            </w:pPr>
          </w:p>
        </w:tc>
        <w:tc>
          <w:tcPr>
            <w:tcW w:w="7027" w:type="dxa"/>
          </w:tcPr>
          <w:p w:rsidR="00E95A39" w:rsidRPr="00726F56" w:rsidRDefault="00E95A39" w:rsidP="00726F56">
            <w:pPr>
              <w:jc w:val="both"/>
              <w:rPr>
                <w:b/>
                <w:sz w:val="22"/>
                <w:szCs w:val="22"/>
              </w:rPr>
            </w:pPr>
          </w:p>
        </w:tc>
        <w:tc>
          <w:tcPr>
            <w:tcW w:w="1244" w:type="dxa"/>
          </w:tcPr>
          <w:p w:rsidR="00E95A39" w:rsidRPr="00726F56" w:rsidRDefault="00E95A39" w:rsidP="00726F56">
            <w:pPr>
              <w:jc w:val="both"/>
              <w:rPr>
                <w:b/>
                <w:sz w:val="22"/>
                <w:szCs w:val="22"/>
              </w:rPr>
            </w:pPr>
          </w:p>
        </w:tc>
      </w:tr>
      <w:tr w:rsidR="00E95A39" w:rsidRPr="00726F56" w:rsidTr="004562FD">
        <w:trPr>
          <w:jc w:val="center"/>
        </w:trPr>
        <w:tc>
          <w:tcPr>
            <w:tcW w:w="767" w:type="dxa"/>
          </w:tcPr>
          <w:p w:rsidR="00E95A39" w:rsidRPr="00726F56" w:rsidRDefault="00E95A39" w:rsidP="00726F56">
            <w:pPr>
              <w:jc w:val="both"/>
              <w:rPr>
                <w:b/>
                <w:sz w:val="22"/>
                <w:szCs w:val="22"/>
              </w:rPr>
            </w:pPr>
          </w:p>
        </w:tc>
        <w:tc>
          <w:tcPr>
            <w:tcW w:w="7027" w:type="dxa"/>
          </w:tcPr>
          <w:p w:rsidR="00E95A39" w:rsidRPr="00726F56" w:rsidRDefault="00E21142" w:rsidP="00726F56">
            <w:pPr>
              <w:jc w:val="both"/>
              <w:rPr>
                <w:b/>
                <w:i/>
                <w:sz w:val="22"/>
                <w:szCs w:val="22"/>
              </w:rPr>
            </w:pPr>
            <w:r w:rsidRPr="00726F56">
              <w:rPr>
                <w:bCs/>
                <w:i/>
                <w:iCs/>
                <w:sz w:val="22"/>
                <w:szCs w:val="22"/>
              </w:rPr>
              <w:t xml:space="preserve">The Principal, </w:t>
            </w:r>
            <w:r w:rsidR="004562FD" w:rsidRPr="00726F56">
              <w:rPr>
                <w:bCs/>
                <w:i/>
                <w:sz w:val="22"/>
                <w:szCs w:val="22"/>
              </w:rPr>
              <w:t>Vice Principal and Deputy Chief Executive</w:t>
            </w:r>
            <w:r w:rsidR="004562FD" w:rsidRPr="00726F56">
              <w:rPr>
                <w:i/>
                <w:sz w:val="22"/>
                <w:szCs w:val="22"/>
              </w:rPr>
              <w:t xml:space="preserve"> Officer</w:t>
            </w:r>
            <w:r w:rsidR="005B1378" w:rsidRPr="00726F56">
              <w:rPr>
                <w:i/>
                <w:sz w:val="22"/>
                <w:szCs w:val="22"/>
              </w:rPr>
              <w:t>,</w:t>
            </w:r>
            <w:r w:rsidR="00D05943" w:rsidRPr="00726F56">
              <w:rPr>
                <w:i/>
                <w:sz w:val="22"/>
                <w:szCs w:val="22"/>
              </w:rPr>
              <w:t xml:space="preserve"> Director of Finance</w:t>
            </w:r>
            <w:r w:rsidR="004562FD" w:rsidRPr="00726F56">
              <w:rPr>
                <w:i/>
                <w:sz w:val="22"/>
                <w:szCs w:val="22"/>
              </w:rPr>
              <w:t xml:space="preserve">, </w:t>
            </w:r>
            <w:r w:rsidRPr="00726F56">
              <w:rPr>
                <w:i/>
                <w:sz w:val="22"/>
                <w:szCs w:val="22"/>
              </w:rPr>
              <w:t>Director, Funding, Data and External Contracts</w:t>
            </w:r>
            <w:r w:rsidRPr="00726F56">
              <w:rPr>
                <w:bCs/>
                <w:i/>
                <w:iCs/>
                <w:sz w:val="22"/>
                <w:szCs w:val="22"/>
              </w:rPr>
              <w:t xml:space="preserve"> </w:t>
            </w:r>
            <w:r w:rsidR="004562FD" w:rsidRPr="00726F56">
              <w:rPr>
                <w:bCs/>
                <w:i/>
                <w:iCs/>
                <w:sz w:val="22"/>
                <w:szCs w:val="22"/>
              </w:rPr>
              <w:t xml:space="preserve">and </w:t>
            </w:r>
            <w:r w:rsidR="004562FD" w:rsidRPr="00726F56">
              <w:rPr>
                <w:i/>
                <w:sz w:val="22"/>
                <w:szCs w:val="22"/>
              </w:rPr>
              <w:t>Assurance and</w:t>
            </w:r>
            <w:r w:rsidR="00D05943" w:rsidRPr="00726F56">
              <w:rPr>
                <w:i/>
                <w:sz w:val="22"/>
                <w:szCs w:val="22"/>
              </w:rPr>
              <w:t xml:space="preserve"> </w:t>
            </w:r>
            <w:r w:rsidR="004562FD" w:rsidRPr="00726F56">
              <w:rPr>
                <w:i/>
                <w:sz w:val="22"/>
                <w:szCs w:val="22"/>
              </w:rPr>
              <w:t>Compliance Manager</w:t>
            </w:r>
            <w:r w:rsidR="004562FD" w:rsidRPr="00726F56">
              <w:rPr>
                <w:bCs/>
                <w:i/>
                <w:iCs/>
                <w:sz w:val="22"/>
                <w:szCs w:val="22"/>
              </w:rPr>
              <w:t xml:space="preserve"> </w:t>
            </w:r>
            <w:r w:rsidR="00D05943" w:rsidRPr="00726F56">
              <w:rPr>
                <w:bCs/>
                <w:i/>
                <w:iCs/>
                <w:sz w:val="22"/>
                <w:szCs w:val="22"/>
              </w:rPr>
              <w:t>joined</w:t>
            </w:r>
            <w:r w:rsidR="00E95A39" w:rsidRPr="00726F56">
              <w:rPr>
                <w:bCs/>
                <w:i/>
                <w:iCs/>
                <w:sz w:val="22"/>
                <w:szCs w:val="22"/>
              </w:rPr>
              <w:t xml:space="preserve"> the meeting at this point </w:t>
            </w:r>
          </w:p>
        </w:tc>
        <w:tc>
          <w:tcPr>
            <w:tcW w:w="1244" w:type="dxa"/>
          </w:tcPr>
          <w:p w:rsidR="00E95A39" w:rsidRPr="00726F56" w:rsidRDefault="00E95A39" w:rsidP="00726F56">
            <w:pPr>
              <w:jc w:val="both"/>
              <w:rPr>
                <w:b/>
                <w:sz w:val="22"/>
                <w:szCs w:val="22"/>
              </w:rPr>
            </w:pPr>
          </w:p>
        </w:tc>
      </w:tr>
      <w:tr w:rsidR="00E21142" w:rsidRPr="00726F56" w:rsidTr="004562FD">
        <w:trPr>
          <w:jc w:val="center"/>
        </w:trPr>
        <w:tc>
          <w:tcPr>
            <w:tcW w:w="767" w:type="dxa"/>
          </w:tcPr>
          <w:p w:rsidR="00E21142" w:rsidRPr="00726F56" w:rsidRDefault="00E21142" w:rsidP="00726F56">
            <w:pPr>
              <w:jc w:val="both"/>
              <w:rPr>
                <w:b/>
                <w:sz w:val="22"/>
                <w:szCs w:val="22"/>
              </w:rPr>
            </w:pPr>
          </w:p>
        </w:tc>
        <w:tc>
          <w:tcPr>
            <w:tcW w:w="7027" w:type="dxa"/>
          </w:tcPr>
          <w:p w:rsidR="00E21142" w:rsidRPr="00726F56" w:rsidRDefault="00E21142" w:rsidP="00726F56">
            <w:pPr>
              <w:autoSpaceDE w:val="0"/>
              <w:autoSpaceDN w:val="0"/>
              <w:adjustRightInd w:val="0"/>
              <w:jc w:val="both"/>
              <w:rPr>
                <w:sz w:val="22"/>
                <w:szCs w:val="22"/>
              </w:rPr>
            </w:pPr>
          </w:p>
        </w:tc>
        <w:tc>
          <w:tcPr>
            <w:tcW w:w="1244" w:type="dxa"/>
          </w:tcPr>
          <w:p w:rsidR="00E21142" w:rsidRPr="00726F56" w:rsidRDefault="00E21142" w:rsidP="00726F56">
            <w:pPr>
              <w:jc w:val="both"/>
              <w:rPr>
                <w:b/>
                <w:sz w:val="22"/>
                <w:szCs w:val="22"/>
              </w:rPr>
            </w:pPr>
          </w:p>
        </w:tc>
      </w:tr>
      <w:tr w:rsidR="007330DE" w:rsidRPr="00726F56" w:rsidTr="004562FD">
        <w:trPr>
          <w:jc w:val="center"/>
        </w:trPr>
        <w:tc>
          <w:tcPr>
            <w:tcW w:w="767" w:type="dxa"/>
          </w:tcPr>
          <w:p w:rsidR="007330DE" w:rsidRPr="00726F56" w:rsidRDefault="00D96C99" w:rsidP="00726F56">
            <w:pPr>
              <w:jc w:val="both"/>
              <w:rPr>
                <w:b/>
                <w:sz w:val="22"/>
                <w:szCs w:val="22"/>
              </w:rPr>
            </w:pPr>
            <w:r w:rsidRPr="00726F56">
              <w:rPr>
                <w:b/>
                <w:sz w:val="22"/>
                <w:szCs w:val="22"/>
              </w:rPr>
              <w:t>17</w:t>
            </w:r>
            <w:r w:rsidR="007330DE" w:rsidRPr="00726F56">
              <w:rPr>
                <w:b/>
                <w:sz w:val="22"/>
                <w:szCs w:val="22"/>
              </w:rPr>
              <w:t>.5</w:t>
            </w:r>
          </w:p>
        </w:tc>
        <w:tc>
          <w:tcPr>
            <w:tcW w:w="7027" w:type="dxa"/>
          </w:tcPr>
          <w:p w:rsidR="007330DE" w:rsidRPr="00726F56" w:rsidRDefault="007330DE" w:rsidP="00726F56">
            <w:pPr>
              <w:jc w:val="both"/>
              <w:rPr>
                <w:b/>
                <w:sz w:val="22"/>
                <w:szCs w:val="22"/>
              </w:rPr>
            </w:pPr>
            <w:r w:rsidRPr="00726F56">
              <w:rPr>
                <w:b/>
                <w:sz w:val="22"/>
                <w:szCs w:val="22"/>
              </w:rPr>
              <w:t>Minutes of the Previous Meeting</w:t>
            </w:r>
          </w:p>
        </w:tc>
        <w:tc>
          <w:tcPr>
            <w:tcW w:w="1244" w:type="dxa"/>
          </w:tcPr>
          <w:p w:rsidR="007330DE" w:rsidRPr="00726F56" w:rsidRDefault="007330DE" w:rsidP="00726F56">
            <w:pPr>
              <w:jc w:val="both"/>
              <w:rPr>
                <w:b/>
                <w:sz w:val="22"/>
                <w:szCs w:val="22"/>
              </w:rPr>
            </w:pPr>
          </w:p>
        </w:tc>
      </w:tr>
      <w:tr w:rsidR="007330DE" w:rsidRPr="00726F56" w:rsidTr="004562FD">
        <w:trPr>
          <w:jc w:val="center"/>
        </w:trPr>
        <w:tc>
          <w:tcPr>
            <w:tcW w:w="767" w:type="dxa"/>
          </w:tcPr>
          <w:p w:rsidR="007330DE" w:rsidRPr="00726F56" w:rsidRDefault="007330DE" w:rsidP="00726F56">
            <w:pPr>
              <w:jc w:val="both"/>
              <w:rPr>
                <w:b/>
                <w:sz w:val="22"/>
                <w:szCs w:val="22"/>
              </w:rPr>
            </w:pPr>
            <w:proofErr w:type="spellStart"/>
            <w:r w:rsidRPr="00726F56">
              <w:rPr>
                <w:b/>
                <w:sz w:val="22"/>
                <w:szCs w:val="22"/>
              </w:rPr>
              <w:t>i</w:t>
            </w:r>
            <w:proofErr w:type="spellEnd"/>
            <w:r w:rsidRPr="00726F56">
              <w:rPr>
                <w:b/>
                <w:sz w:val="22"/>
                <w:szCs w:val="22"/>
              </w:rPr>
              <w:t>)</w:t>
            </w:r>
          </w:p>
        </w:tc>
        <w:tc>
          <w:tcPr>
            <w:tcW w:w="7027" w:type="dxa"/>
          </w:tcPr>
          <w:p w:rsidR="007330DE" w:rsidRPr="00726F56" w:rsidRDefault="00D05943" w:rsidP="00726F56">
            <w:pPr>
              <w:jc w:val="both"/>
              <w:rPr>
                <w:sz w:val="22"/>
                <w:szCs w:val="22"/>
              </w:rPr>
            </w:pPr>
            <w:r w:rsidRPr="00726F56">
              <w:rPr>
                <w:sz w:val="22"/>
                <w:szCs w:val="22"/>
              </w:rPr>
              <w:t xml:space="preserve">Two corrections were highlighted in the Minutes.  </w:t>
            </w:r>
            <w:r w:rsidR="006A6DEE" w:rsidRPr="00726F56">
              <w:rPr>
                <w:sz w:val="22"/>
                <w:szCs w:val="22"/>
              </w:rPr>
              <w:t xml:space="preserve">The </w:t>
            </w:r>
            <w:r w:rsidR="007330DE" w:rsidRPr="00726F56">
              <w:rPr>
                <w:sz w:val="22"/>
                <w:szCs w:val="22"/>
              </w:rPr>
              <w:t xml:space="preserve">Audit Committee </w:t>
            </w:r>
            <w:r w:rsidR="007330DE" w:rsidRPr="00726F56">
              <w:rPr>
                <w:b/>
                <w:sz w:val="22"/>
                <w:szCs w:val="22"/>
              </w:rPr>
              <w:t>APPROVED</w:t>
            </w:r>
            <w:r w:rsidR="007330DE" w:rsidRPr="00726F56">
              <w:rPr>
                <w:sz w:val="22"/>
                <w:szCs w:val="22"/>
              </w:rPr>
              <w:t xml:space="preserve"> the </w:t>
            </w:r>
            <w:r w:rsidR="006A6DEE" w:rsidRPr="00726F56">
              <w:rPr>
                <w:sz w:val="22"/>
                <w:szCs w:val="22"/>
              </w:rPr>
              <w:t xml:space="preserve">revised </w:t>
            </w:r>
            <w:r w:rsidR="007330DE" w:rsidRPr="00726F56">
              <w:rPr>
                <w:sz w:val="22"/>
                <w:szCs w:val="22"/>
              </w:rPr>
              <w:t xml:space="preserve">Minutes of the meeting held on </w:t>
            </w:r>
            <w:r w:rsidRPr="00726F56">
              <w:rPr>
                <w:sz w:val="22"/>
                <w:szCs w:val="22"/>
              </w:rPr>
              <w:t>5 March 2019</w:t>
            </w:r>
            <w:r w:rsidR="00E21142" w:rsidRPr="00726F56">
              <w:rPr>
                <w:sz w:val="22"/>
                <w:szCs w:val="22"/>
              </w:rPr>
              <w:t xml:space="preserve"> </w:t>
            </w:r>
            <w:r w:rsidR="007330DE" w:rsidRPr="00726F56">
              <w:rPr>
                <w:sz w:val="22"/>
                <w:szCs w:val="22"/>
              </w:rPr>
              <w:t>as an accurate record for signature by the Chair.</w:t>
            </w:r>
          </w:p>
        </w:tc>
        <w:tc>
          <w:tcPr>
            <w:tcW w:w="1244" w:type="dxa"/>
          </w:tcPr>
          <w:p w:rsidR="007330DE" w:rsidRPr="00726F56" w:rsidRDefault="007330DE" w:rsidP="00726F56">
            <w:pPr>
              <w:jc w:val="both"/>
              <w:rPr>
                <w:b/>
                <w:sz w:val="22"/>
                <w:szCs w:val="22"/>
              </w:rPr>
            </w:pPr>
          </w:p>
        </w:tc>
      </w:tr>
      <w:tr w:rsidR="007330DE" w:rsidRPr="00726F56" w:rsidTr="004562FD">
        <w:trPr>
          <w:jc w:val="center"/>
        </w:trPr>
        <w:tc>
          <w:tcPr>
            <w:tcW w:w="767" w:type="dxa"/>
          </w:tcPr>
          <w:p w:rsidR="007330DE" w:rsidRPr="00726F56" w:rsidRDefault="007330DE" w:rsidP="00726F56">
            <w:pPr>
              <w:jc w:val="both"/>
              <w:rPr>
                <w:b/>
                <w:sz w:val="22"/>
                <w:szCs w:val="22"/>
              </w:rPr>
            </w:pPr>
          </w:p>
        </w:tc>
        <w:tc>
          <w:tcPr>
            <w:tcW w:w="7027" w:type="dxa"/>
          </w:tcPr>
          <w:p w:rsidR="007330DE" w:rsidRPr="00726F56" w:rsidRDefault="007330DE" w:rsidP="00726F56">
            <w:pPr>
              <w:jc w:val="both"/>
              <w:rPr>
                <w:b/>
                <w:sz w:val="22"/>
                <w:szCs w:val="22"/>
              </w:rPr>
            </w:pPr>
          </w:p>
        </w:tc>
        <w:tc>
          <w:tcPr>
            <w:tcW w:w="1244" w:type="dxa"/>
          </w:tcPr>
          <w:p w:rsidR="007330DE" w:rsidRPr="00726F56" w:rsidRDefault="007330DE" w:rsidP="00726F56">
            <w:pPr>
              <w:jc w:val="both"/>
              <w:rPr>
                <w:b/>
                <w:sz w:val="22"/>
                <w:szCs w:val="22"/>
              </w:rPr>
            </w:pPr>
          </w:p>
        </w:tc>
      </w:tr>
      <w:tr w:rsidR="007330DE" w:rsidRPr="00726F56" w:rsidTr="004562FD">
        <w:trPr>
          <w:jc w:val="center"/>
        </w:trPr>
        <w:tc>
          <w:tcPr>
            <w:tcW w:w="767" w:type="dxa"/>
          </w:tcPr>
          <w:p w:rsidR="007330DE" w:rsidRPr="00726F56" w:rsidRDefault="00D96C99" w:rsidP="00726F56">
            <w:pPr>
              <w:jc w:val="both"/>
              <w:rPr>
                <w:b/>
                <w:sz w:val="22"/>
                <w:szCs w:val="22"/>
              </w:rPr>
            </w:pPr>
            <w:r w:rsidRPr="00726F56">
              <w:rPr>
                <w:b/>
                <w:sz w:val="22"/>
                <w:szCs w:val="22"/>
              </w:rPr>
              <w:t>17</w:t>
            </w:r>
            <w:r w:rsidR="007330DE" w:rsidRPr="00726F56">
              <w:rPr>
                <w:b/>
                <w:sz w:val="22"/>
                <w:szCs w:val="22"/>
              </w:rPr>
              <w:t>.6</w:t>
            </w:r>
          </w:p>
        </w:tc>
        <w:tc>
          <w:tcPr>
            <w:tcW w:w="7027" w:type="dxa"/>
          </w:tcPr>
          <w:p w:rsidR="007330DE" w:rsidRPr="00726F56" w:rsidRDefault="007330DE" w:rsidP="00726F56">
            <w:pPr>
              <w:jc w:val="both"/>
              <w:rPr>
                <w:b/>
                <w:sz w:val="22"/>
                <w:szCs w:val="22"/>
              </w:rPr>
            </w:pPr>
            <w:r w:rsidRPr="00726F56">
              <w:rPr>
                <w:b/>
                <w:sz w:val="22"/>
                <w:szCs w:val="22"/>
              </w:rPr>
              <w:t>Matters Arising</w:t>
            </w:r>
          </w:p>
        </w:tc>
        <w:tc>
          <w:tcPr>
            <w:tcW w:w="1244" w:type="dxa"/>
          </w:tcPr>
          <w:p w:rsidR="007330DE" w:rsidRPr="00726F56" w:rsidRDefault="007330DE" w:rsidP="00726F56">
            <w:pPr>
              <w:jc w:val="both"/>
              <w:rPr>
                <w:b/>
                <w:sz w:val="22"/>
                <w:szCs w:val="22"/>
              </w:rPr>
            </w:pPr>
          </w:p>
        </w:tc>
      </w:tr>
      <w:tr w:rsidR="007330DE" w:rsidRPr="00726F56" w:rsidTr="004562FD">
        <w:trPr>
          <w:jc w:val="center"/>
        </w:trPr>
        <w:tc>
          <w:tcPr>
            <w:tcW w:w="767" w:type="dxa"/>
          </w:tcPr>
          <w:p w:rsidR="007330DE" w:rsidRPr="00726F56" w:rsidRDefault="007330DE" w:rsidP="00726F56">
            <w:pPr>
              <w:jc w:val="both"/>
              <w:rPr>
                <w:b/>
                <w:sz w:val="22"/>
                <w:szCs w:val="22"/>
              </w:rPr>
            </w:pPr>
            <w:proofErr w:type="spellStart"/>
            <w:r w:rsidRPr="00726F56">
              <w:rPr>
                <w:b/>
                <w:sz w:val="22"/>
                <w:szCs w:val="22"/>
              </w:rPr>
              <w:t>i</w:t>
            </w:r>
            <w:proofErr w:type="spellEnd"/>
            <w:r w:rsidRPr="00726F56">
              <w:rPr>
                <w:b/>
                <w:sz w:val="22"/>
                <w:szCs w:val="22"/>
              </w:rPr>
              <w:t>)</w:t>
            </w:r>
          </w:p>
        </w:tc>
        <w:tc>
          <w:tcPr>
            <w:tcW w:w="7027" w:type="dxa"/>
          </w:tcPr>
          <w:p w:rsidR="007330DE" w:rsidRPr="00726F56" w:rsidRDefault="007330DE" w:rsidP="00726F56">
            <w:pPr>
              <w:jc w:val="both"/>
              <w:rPr>
                <w:sz w:val="22"/>
                <w:szCs w:val="22"/>
              </w:rPr>
            </w:pPr>
            <w:r w:rsidRPr="00726F56">
              <w:rPr>
                <w:sz w:val="22"/>
                <w:szCs w:val="22"/>
              </w:rPr>
              <w:t xml:space="preserve">The </w:t>
            </w:r>
            <w:r w:rsidR="005A5BC8" w:rsidRPr="00726F56">
              <w:rPr>
                <w:sz w:val="22"/>
                <w:szCs w:val="22"/>
              </w:rPr>
              <w:t>Clerk to the Corporation</w:t>
            </w:r>
            <w:r w:rsidR="004E072C" w:rsidRPr="00726F56">
              <w:rPr>
                <w:sz w:val="22"/>
                <w:szCs w:val="22"/>
              </w:rPr>
              <w:t xml:space="preserve"> reported that </w:t>
            </w:r>
            <w:r w:rsidR="0085330E" w:rsidRPr="00726F56">
              <w:rPr>
                <w:sz w:val="22"/>
                <w:szCs w:val="22"/>
              </w:rPr>
              <w:t>four</w:t>
            </w:r>
            <w:r w:rsidR="004E072C" w:rsidRPr="00726F56">
              <w:rPr>
                <w:sz w:val="22"/>
                <w:szCs w:val="22"/>
              </w:rPr>
              <w:t xml:space="preserve"> actions </w:t>
            </w:r>
            <w:r w:rsidR="00C34170" w:rsidRPr="00726F56">
              <w:rPr>
                <w:sz w:val="22"/>
                <w:szCs w:val="22"/>
              </w:rPr>
              <w:t>had been</w:t>
            </w:r>
            <w:r w:rsidR="004E072C" w:rsidRPr="00726F56">
              <w:rPr>
                <w:sz w:val="22"/>
                <w:szCs w:val="22"/>
              </w:rPr>
              <w:t xml:space="preserve"> completed</w:t>
            </w:r>
            <w:r w:rsidR="00C34170" w:rsidRPr="00726F56">
              <w:rPr>
                <w:sz w:val="22"/>
                <w:szCs w:val="22"/>
              </w:rPr>
              <w:t>, one carried forward (</w:t>
            </w:r>
            <w:r w:rsidR="002D5449" w:rsidRPr="00726F56">
              <w:rPr>
                <w:sz w:val="22"/>
                <w:szCs w:val="22"/>
                <w:lang w:eastAsia="en-US"/>
              </w:rPr>
              <w:t>Review of Integral in 2020</w:t>
            </w:r>
            <w:r w:rsidR="00C34170" w:rsidRPr="00726F56">
              <w:rPr>
                <w:sz w:val="22"/>
                <w:szCs w:val="22"/>
              </w:rPr>
              <w:t xml:space="preserve">) and </w:t>
            </w:r>
            <w:r w:rsidR="00D05943" w:rsidRPr="00726F56">
              <w:rPr>
                <w:sz w:val="22"/>
                <w:szCs w:val="22"/>
              </w:rPr>
              <w:t>two</w:t>
            </w:r>
            <w:r w:rsidR="00C34170" w:rsidRPr="00726F56">
              <w:rPr>
                <w:sz w:val="22"/>
                <w:szCs w:val="22"/>
              </w:rPr>
              <w:t xml:space="preserve"> would be </w:t>
            </w:r>
            <w:r w:rsidR="00842AF2" w:rsidRPr="00726F56">
              <w:rPr>
                <w:sz w:val="22"/>
                <w:szCs w:val="22"/>
              </w:rPr>
              <w:t>addressed</w:t>
            </w:r>
            <w:r w:rsidR="0085330E" w:rsidRPr="00726F56">
              <w:rPr>
                <w:sz w:val="22"/>
                <w:szCs w:val="22"/>
              </w:rPr>
              <w:t xml:space="preserve"> in the course of the meeting.</w:t>
            </w:r>
            <w:r w:rsidR="00D05943" w:rsidRPr="00726F56">
              <w:rPr>
                <w:sz w:val="22"/>
                <w:szCs w:val="22"/>
              </w:rPr>
              <w:t xml:space="preserve">  </w:t>
            </w:r>
          </w:p>
        </w:tc>
        <w:tc>
          <w:tcPr>
            <w:tcW w:w="1244" w:type="dxa"/>
          </w:tcPr>
          <w:p w:rsidR="00842AF2" w:rsidRPr="00726F56" w:rsidRDefault="00842AF2" w:rsidP="00726F56">
            <w:pPr>
              <w:jc w:val="both"/>
              <w:rPr>
                <w:b/>
                <w:sz w:val="22"/>
                <w:szCs w:val="22"/>
              </w:rPr>
            </w:pPr>
          </w:p>
        </w:tc>
      </w:tr>
      <w:tr w:rsidR="007330DE" w:rsidRPr="00726F56" w:rsidTr="004562FD">
        <w:trPr>
          <w:jc w:val="center"/>
        </w:trPr>
        <w:tc>
          <w:tcPr>
            <w:tcW w:w="767" w:type="dxa"/>
          </w:tcPr>
          <w:p w:rsidR="007330DE" w:rsidRPr="00726F56" w:rsidRDefault="007330DE" w:rsidP="00726F56">
            <w:pPr>
              <w:jc w:val="both"/>
              <w:rPr>
                <w:b/>
                <w:sz w:val="22"/>
                <w:szCs w:val="22"/>
              </w:rPr>
            </w:pPr>
          </w:p>
        </w:tc>
        <w:tc>
          <w:tcPr>
            <w:tcW w:w="7027" w:type="dxa"/>
          </w:tcPr>
          <w:p w:rsidR="007330DE" w:rsidRPr="00726F56" w:rsidRDefault="007330DE" w:rsidP="00726F56">
            <w:pPr>
              <w:jc w:val="both"/>
              <w:rPr>
                <w:sz w:val="22"/>
                <w:szCs w:val="22"/>
              </w:rPr>
            </w:pPr>
          </w:p>
        </w:tc>
        <w:tc>
          <w:tcPr>
            <w:tcW w:w="1244" w:type="dxa"/>
          </w:tcPr>
          <w:p w:rsidR="007330DE" w:rsidRPr="00726F56" w:rsidRDefault="007330DE" w:rsidP="00726F56">
            <w:pPr>
              <w:jc w:val="both"/>
              <w:rPr>
                <w:b/>
                <w:sz w:val="22"/>
                <w:szCs w:val="22"/>
              </w:rPr>
            </w:pPr>
          </w:p>
        </w:tc>
      </w:tr>
      <w:tr w:rsidR="007330DE" w:rsidRPr="00726F56" w:rsidTr="004562FD">
        <w:trPr>
          <w:jc w:val="center"/>
        </w:trPr>
        <w:tc>
          <w:tcPr>
            <w:tcW w:w="767" w:type="dxa"/>
          </w:tcPr>
          <w:p w:rsidR="007330DE" w:rsidRPr="00726F56" w:rsidRDefault="007330DE" w:rsidP="00726F56">
            <w:pPr>
              <w:jc w:val="both"/>
              <w:rPr>
                <w:b/>
                <w:sz w:val="22"/>
                <w:szCs w:val="22"/>
              </w:rPr>
            </w:pPr>
            <w:r w:rsidRPr="00726F56">
              <w:rPr>
                <w:b/>
                <w:sz w:val="22"/>
                <w:szCs w:val="22"/>
              </w:rPr>
              <w:t>ii)</w:t>
            </w:r>
          </w:p>
        </w:tc>
        <w:tc>
          <w:tcPr>
            <w:tcW w:w="7027" w:type="dxa"/>
          </w:tcPr>
          <w:p w:rsidR="007330DE" w:rsidRPr="00726F56" w:rsidRDefault="007330DE" w:rsidP="00726F56">
            <w:pPr>
              <w:jc w:val="both"/>
              <w:rPr>
                <w:b/>
                <w:sz w:val="22"/>
                <w:szCs w:val="22"/>
              </w:rPr>
            </w:pPr>
            <w:r w:rsidRPr="00726F56">
              <w:rPr>
                <w:sz w:val="22"/>
                <w:szCs w:val="22"/>
              </w:rPr>
              <w:t xml:space="preserve">The Audit Committee </w:t>
            </w:r>
            <w:r w:rsidRPr="00726F56">
              <w:rPr>
                <w:b/>
                <w:bCs/>
                <w:sz w:val="22"/>
                <w:szCs w:val="22"/>
              </w:rPr>
              <w:t>MONITORED</w:t>
            </w:r>
            <w:r w:rsidRPr="00726F56">
              <w:rPr>
                <w:sz w:val="22"/>
                <w:szCs w:val="22"/>
              </w:rPr>
              <w:t xml:space="preserve"> action taken, and remaining to be taken, in respect of Matters Arising from the Minutes of previous meetings.</w:t>
            </w:r>
          </w:p>
        </w:tc>
        <w:tc>
          <w:tcPr>
            <w:tcW w:w="1244" w:type="dxa"/>
          </w:tcPr>
          <w:p w:rsidR="007330DE" w:rsidRPr="00726F56" w:rsidRDefault="007330DE" w:rsidP="00726F56">
            <w:pPr>
              <w:jc w:val="both"/>
              <w:rPr>
                <w:b/>
                <w:sz w:val="22"/>
                <w:szCs w:val="22"/>
              </w:rPr>
            </w:pPr>
          </w:p>
        </w:tc>
      </w:tr>
      <w:tr w:rsidR="007330DE" w:rsidRPr="00726F56" w:rsidTr="004562FD">
        <w:trPr>
          <w:jc w:val="center"/>
        </w:trPr>
        <w:tc>
          <w:tcPr>
            <w:tcW w:w="767" w:type="dxa"/>
          </w:tcPr>
          <w:p w:rsidR="007330DE" w:rsidRPr="00726F56" w:rsidRDefault="007330DE" w:rsidP="00726F56">
            <w:pPr>
              <w:jc w:val="both"/>
              <w:rPr>
                <w:b/>
                <w:sz w:val="22"/>
                <w:szCs w:val="22"/>
              </w:rPr>
            </w:pPr>
          </w:p>
        </w:tc>
        <w:tc>
          <w:tcPr>
            <w:tcW w:w="7027" w:type="dxa"/>
          </w:tcPr>
          <w:p w:rsidR="007330DE" w:rsidRPr="00726F56" w:rsidRDefault="007330DE" w:rsidP="00726F56">
            <w:pPr>
              <w:jc w:val="both"/>
              <w:rPr>
                <w:sz w:val="22"/>
                <w:szCs w:val="22"/>
              </w:rPr>
            </w:pPr>
          </w:p>
        </w:tc>
        <w:tc>
          <w:tcPr>
            <w:tcW w:w="1244" w:type="dxa"/>
          </w:tcPr>
          <w:p w:rsidR="007330DE" w:rsidRPr="00726F56" w:rsidRDefault="007330DE" w:rsidP="00726F56">
            <w:pPr>
              <w:jc w:val="both"/>
              <w:rPr>
                <w:b/>
                <w:sz w:val="22"/>
                <w:szCs w:val="22"/>
              </w:rPr>
            </w:pPr>
          </w:p>
        </w:tc>
      </w:tr>
      <w:tr w:rsidR="007330DE" w:rsidRPr="00726F56" w:rsidTr="004562FD">
        <w:trPr>
          <w:jc w:val="center"/>
        </w:trPr>
        <w:tc>
          <w:tcPr>
            <w:tcW w:w="767" w:type="dxa"/>
          </w:tcPr>
          <w:p w:rsidR="007330DE" w:rsidRPr="00726F56" w:rsidRDefault="00D96C99" w:rsidP="00726F56">
            <w:pPr>
              <w:jc w:val="both"/>
              <w:rPr>
                <w:b/>
                <w:sz w:val="22"/>
                <w:szCs w:val="22"/>
              </w:rPr>
            </w:pPr>
            <w:r w:rsidRPr="00726F56">
              <w:rPr>
                <w:b/>
                <w:sz w:val="22"/>
                <w:szCs w:val="22"/>
              </w:rPr>
              <w:t>17</w:t>
            </w:r>
            <w:r w:rsidR="007330DE" w:rsidRPr="00726F56">
              <w:rPr>
                <w:b/>
                <w:sz w:val="22"/>
                <w:szCs w:val="22"/>
              </w:rPr>
              <w:t>.7</w:t>
            </w:r>
          </w:p>
        </w:tc>
        <w:tc>
          <w:tcPr>
            <w:tcW w:w="7027" w:type="dxa"/>
          </w:tcPr>
          <w:p w:rsidR="007330DE" w:rsidRPr="00726F56" w:rsidRDefault="007330DE" w:rsidP="00726F56">
            <w:pPr>
              <w:jc w:val="both"/>
              <w:rPr>
                <w:sz w:val="22"/>
                <w:szCs w:val="22"/>
              </w:rPr>
            </w:pPr>
            <w:r w:rsidRPr="00726F56">
              <w:rPr>
                <w:b/>
                <w:sz w:val="22"/>
                <w:szCs w:val="22"/>
              </w:rPr>
              <w:t xml:space="preserve">Determination of </w:t>
            </w:r>
            <w:r w:rsidRPr="00726F56">
              <w:rPr>
                <w:b/>
                <w:bCs/>
                <w:sz w:val="22"/>
                <w:szCs w:val="22"/>
              </w:rPr>
              <w:t>Any Other Urgent Business</w:t>
            </w:r>
          </w:p>
        </w:tc>
        <w:tc>
          <w:tcPr>
            <w:tcW w:w="1244" w:type="dxa"/>
          </w:tcPr>
          <w:p w:rsidR="007330DE" w:rsidRPr="00726F56" w:rsidRDefault="007330DE" w:rsidP="00726F56">
            <w:pPr>
              <w:jc w:val="both"/>
              <w:rPr>
                <w:b/>
                <w:sz w:val="22"/>
                <w:szCs w:val="22"/>
              </w:rPr>
            </w:pPr>
          </w:p>
        </w:tc>
      </w:tr>
      <w:tr w:rsidR="007330DE" w:rsidRPr="00726F56" w:rsidTr="004562FD">
        <w:trPr>
          <w:jc w:val="center"/>
        </w:trPr>
        <w:tc>
          <w:tcPr>
            <w:tcW w:w="767" w:type="dxa"/>
          </w:tcPr>
          <w:p w:rsidR="007330DE" w:rsidRPr="00726F56" w:rsidRDefault="007330DE" w:rsidP="00726F56">
            <w:pPr>
              <w:pStyle w:val="NoSpacing"/>
              <w:jc w:val="both"/>
              <w:rPr>
                <w:b/>
                <w:sz w:val="22"/>
                <w:szCs w:val="22"/>
              </w:rPr>
            </w:pPr>
            <w:proofErr w:type="spellStart"/>
            <w:r w:rsidRPr="00726F56">
              <w:rPr>
                <w:b/>
                <w:sz w:val="22"/>
                <w:szCs w:val="22"/>
              </w:rPr>
              <w:t>i</w:t>
            </w:r>
            <w:proofErr w:type="spellEnd"/>
            <w:r w:rsidRPr="00726F56">
              <w:rPr>
                <w:b/>
                <w:sz w:val="22"/>
                <w:szCs w:val="22"/>
              </w:rPr>
              <w:t>)</w:t>
            </w:r>
          </w:p>
        </w:tc>
        <w:tc>
          <w:tcPr>
            <w:tcW w:w="7027" w:type="dxa"/>
          </w:tcPr>
          <w:p w:rsidR="007330DE" w:rsidRPr="00726F56" w:rsidRDefault="007330DE" w:rsidP="00726F56">
            <w:pPr>
              <w:jc w:val="both"/>
              <w:rPr>
                <w:bCs/>
                <w:spacing w:val="-1"/>
                <w:sz w:val="22"/>
                <w:szCs w:val="22"/>
              </w:rPr>
            </w:pPr>
            <w:r w:rsidRPr="00726F56">
              <w:rPr>
                <w:bCs/>
                <w:spacing w:val="-1"/>
                <w:sz w:val="22"/>
                <w:szCs w:val="22"/>
              </w:rPr>
              <w:t>There were no other items of urgent business.</w:t>
            </w:r>
          </w:p>
        </w:tc>
        <w:tc>
          <w:tcPr>
            <w:tcW w:w="1244" w:type="dxa"/>
          </w:tcPr>
          <w:p w:rsidR="007330DE" w:rsidRPr="00726F56" w:rsidRDefault="007330DE" w:rsidP="00726F56">
            <w:pPr>
              <w:pStyle w:val="NoSpacing"/>
              <w:jc w:val="both"/>
              <w:rPr>
                <w:b/>
                <w:sz w:val="22"/>
                <w:szCs w:val="22"/>
              </w:rPr>
            </w:pPr>
          </w:p>
        </w:tc>
      </w:tr>
      <w:tr w:rsidR="007330DE" w:rsidRPr="00726F56" w:rsidTr="004562FD">
        <w:trPr>
          <w:jc w:val="center"/>
        </w:trPr>
        <w:tc>
          <w:tcPr>
            <w:tcW w:w="767" w:type="dxa"/>
          </w:tcPr>
          <w:p w:rsidR="007330DE" w:rsidRPr="00726F56" w:rsidRDefault="007330DE" w:rsidP="00726F56">
            <w:pPr>
              <w:pStyle w:val="NoSpacing"/>
              <w:jc w:val="both"/>
              <w:rPr>
                <w:b/>
                <w:sz w:val="22"/>
                <w:szCs w:val="22"/>
              </w:rPr>
            </w:pPr>
          </w:p>
        </w:tc>
        <w:tc>
          <w:tcPr>
            <w:tcW w:w="7027" w:type="dxa"/>
          </w:tcPr>
          <w:p w:rsidR="007330DE" w:rsidRPr="00726F56" w:rsidRDefault="007330DE" w:rsidP="00726F56">
            <w:pPr>
              <w:pStyle w:val="NoSpacing"/>
              <w:jc w:val="both"/>
              <w:rPr>
                <w:bCs/>
                <w:spacing w:val="-1"/>
                <w:sz w:val="22"/>
                <w:szCs w:val="22"/>
              </w:rPr>
            </w:pPr>
          </w:p>
        </w:tc>
        <w:tc>
          <w:tcPr>
            <w:tcW w:w="1244" w:type="dxa"/>
          </w:tcPr>
          <w:p w:rsidR="007330DE" w:rsidRPr="00726F56" w:rsidRDefault="007330DE" w:rsidP="00726F56">
            <w:pPr>
              <w:pStyle w:val="NoSpacing"/>
              <w:jc w:val="both"/>
              <w:rPr>
                <w:b/>
                <w:sz w:val="22"/>
                <w:szCs w:val="22"/>
              </w:rPr>
            </w:pPr>
          </w:p>
        </w:tc>
      </w:tr>
      <w:tr w:rsidR="00675EAB" w:rsidRPr="00726F56" w:rsidTr="004562FD">
        <w:trPr>
          <w:trHeight w:val="115"/>
          <w:jc w:val="center"/>
        </w:trPr>
        <w:tc>
          <w:tcPr>
            <w:tcW w:w="767" w:type="dxa"/>
          </w:tcPr>
          <w:p w:rsidR="00675EAB" w:rsidRPr="00726F56" w:rsidRDefault="00675EAB" w:rsidP="00726F56">
            <w:pPr>
              <w:jc w:val="both"/>
              <w:rPr>
                <w:b/>
                <w:sz w:val="22"/>
                <w:szCs w:val="22"/>
              </w:rPr>
            </w:pPr>
          </w:p>
        </w:tc>
        <w:tc>
          <w:tcPr>
            <w:tcW w:w="7027" w:type="dxa"/>
          </w:tcPr>
          <w:p w:rsidR="00675EAB" w:rsidRPr="00726F56" w:rsidRDefault="00675EAB" w:rsidP="00726F56">
            <w:pPr>
              <w:jc w:val="both"/>
              <w:rPr>
                <w:b/>
                <w:sz w:val="22"/>
                <w:szCs w:val="22"/>
              </w:rPr>
            </w:pPr>
            <w:r w:rsidRPr="00726F56">
              <w:rPr>
                <w:b/>
                <w:sz w:val="22"/>
                <w:szCs w:val="22"/>
              </w:rPr>
              <w:t>Risk Register and Assurance Framework</w:t>
            </w:r>
          </w:p>
        </w:tc>
        <w:tc>
          <w:tcPr>
            <w:tcW w:w="1244" w:type="dxa"/>
          </w:tcPr>
          <w:p w:rsidR="00675EAB" w:rsidRPr="00726F56" w:rsidRDefault="00675EAB" w:rsidP="00726F56">
            <w:pPr>
              <w:pStyle w:val="NoSpacing"/>
              <w:jc w:val="both"/>
              <w:rPr>
                <w:b/>
                <w:sz w:val="22"/>
                <w:szCs w:val="22"/>
              </w:rPr>
            </w:pPr>
          </w:p>
        </w:tc>
      </w:tr>
      <w:tr w:rsidR="002D5449" w:rsidRPr="00726F56" w:rsidTr="004562FD">
        <w:trPr>
          <w:jc w:val="center"/>
        </w:trPr>
        <w:tc>
          <w:tcPr>
            <w:tcW w:w="767" w:type="dxa"/>
          </w:tcPr>
          <w:p w:rsidR="002D5449" w:rsidRPr="00726F56" w:rsidRDefault="002D5449" w:rsidP="00726F56">
            <w:pPr>
              <w:jc w:val="both"/>
              <w:rPr>
                <w:b/>
                <w:sz w:val="22"/>
                <w:szCs w:val="22"/>
              </w:rPr>
            </w:pPr>
            <w:r w:rsidRPr="00726F56">
              <w:rPr>
                <w:b/>
                <w:sz w:val="22"/>
                <w:szCs w:val="22"/>
              </w:rPr>
              <w:t>17.8</w:t>
            </w:r>
          </w:p>
        </w:tc>
        <w:tc>
          <w:tcPr>
            <w:tcW w:w="7027" w:type="dxa"/>
          </w:tcPr>
          <w:p w:rsidR="002D5449" w:rsidRPr="00726F56" w:rsidRDefault="002D5449" w:rsidP="00726F56">
            <w:pPr>
              <w:jc w:val="both"/>
              <w:rPr>
                <w:b/>
                <w:sz w:val="22"/>
                <w:szCs w:val="22"/>
              </w:rPr>
            </w:pPr>
            <w:r w:rsidRPr="00726F56">
              <w:rPr>
                <w:b/>
                <w:sz w:val="22"/>
                <w:szCs w:val="22"/>
              </w:rPr>
              <w:t>Strategic Risk Register – Summer Term Update</w:t>
            </w:r>
          </w:p>
        </w:tc>
        <w:tc>
          <w:tcPr>
            <w:tcW w:w="1244" w:type="dxa"/>
          </w:tcPr>
          <w:p w:rsidR="002D5449" w:rsidRPr="00726F56" w:rsidRDefault="002D5449" w:rsidP="00726F56">
            <w:pPr>
              <w:pStyle w:val="NoSpacing"/>
              <w:jc w:val="both"/>
              <w:rPr>
                <w:b/>
                <w:sz w:val="22"/>
                <w:szCs w:val="22"/>
              </w:rPr>
            </w:pPr>
          </w:p>
        </w:tc>
      </w:tr>
      <w:tr w:rsidR="002D5449" w:rsidRPr="00726F56" w:rsidTr="004562FD">
        <w:trPr>
          <w:jc w:val="center"/>
        </w:trPr>
        <w:tc>
          <w:tcPr>
            <w:tcW w:w="767" w:type="dxa"/>
          </w:tcPr>
          <w:p w:rsidR="002D5449" w:rsidRPr="00726F56" w:rsidRDefault="002D5449" w:rsidP="00726F56">
            <w:pPr>
              <w:jc w:val="both"/>
              <w:rPr>
                <w:b/>
                <w:sz w:val="22"/>
                <w:szCs w:val="22"/>
              </w:rPr>
            </w:pPr>
            <w:proofErr w:type="spellStart"/>
            <w:r w:rsidRPr="00726F56">
              <w:rPr>
                <w:b/>
                <w:sz w:val="22"/>
                <w:szCs w:val="22"/>
              </w:rPr>
              <w:t>i</w:t>
            </w:r>
            <w:proofErr w:type="spellEnd"/>
            <w:r w:rsidRPr="00726F56">
              <w:rPr>
                <w:b/>
                <w:sz w:val="22"/>
                <w:szCs w:val="22"/>
              </w:rPr>
              <w:t>)</w:t>
            </w:r>
          </w:p>
        </w:tc>
        <w:tc>
          <w:tcPr>
            <w:tcW w:w="7027" w:type="dxa"/>
          </w:tcPr>
          <w:p w:rsidR="002D5449" w:rsidRPr="00726F56" w:rsidRDefault="002D5449" w:rsidP="00726F56">
            <w:pPr>
              <w:jc w:val="both"/>
              <w:rPr>
                <w:sz w:val="22"/>
                <w:szCs w:val="22"/>
              </w:rPr>
            </w:pPr>
            <w:r w:rsidRPr="00726F56">
              <w:rPr>
                <w:sz w:val="22"/>
                <w:szCs w:val="22"/>
              </w:rPr>
              <w:t xml:space="preserve">The </w:t>
            </w:r>
            <w:r w:rsidRPr="00726F56">
              <w:rPr>
                <w:bCs/>
                <w:sz w:val="22"/>
                <w:szCs w:val="22"/>
              </w:rPr>
              <w:t>Vice Principal and Deputy Chief Executive</w:t>
            </w:r>
            <w:r w:rsidRPr="00726F56">
              <w:rPr>
                <w:sz w:val="22"/>
                <w:szCs w:val="22"/>
              </w:rPr>
              <w:t xml:space="preserve"> Officer presented the Summer term Strategic Risk Register </w:t>
            </w:r>
            <w:r w:rsidRPr="00726F56">
              <w:rPr>
                <w:rFonts w:eastAsiaTheme="minorHAnsi"/>
                <w:sz w:val="22"/>
                <w:szCs w:val="22"/>
              </w:rPr>
              <w:t>and summary showing the scoring and classification of all risks following review by the Risk Management Group.  T</w:t>
            </w:r>
            <w:r w:rsidRPr="00726F56">
              <w:rPr>
                <w:sz w:val="22"/>
                <w:szCs w:val="22"/>
              </w:rPr>
              <w:t xml:space="preserve">he full Risk Register was available in the supporting papers folder on the Governor Portal.  </w:t>
            </w:r>
            <w:r w:rsidR="00AA3B48" w:rsidRPr="00726F56">
              <w:rPr>
                <w:sz w:val="22"/>
                <w:szCs w:val="22"/>
              </w:rPr>
              <w:t xml:space="preserve">Governors noted the addition of column headings to each page as requested, with thanks to Donna Gibson.  </w:t>
            </w:r>
            <w:r w:rsidRPr="00726F56">
              <w:rPr>
                <w:sz w:val="22"/>
                <w:szCs w:val="22"/>
              </w:rPr>
              <w:t xml:space="preserve">Details were provided of the changes in individual risk scores: </w:t>
            </w:r>
          </w:p>
          <w:p w:rsidR="002D5449" w:rsidRPr="00726F56" w:rsidRDefault="002D5449" w:rsidP="00726F56">
            <w:pPr>
              <w:pStyle w:val="ListParagraph"/>
              <w:numPr>
                <w:ilvl w:val="0"/>
                <w:numId w:val="16"/>
              </w:numPr>
              <w:autoSpaceDE w:val="0"/>
              <w:autoSpaceDN w:val="0"/>
              <w:adjustRightInd w:val="0"/>
              <w:jc w:val="both"/>
              <w:rPr>
                <w:rFonts w:eastAsiaTheme="minorHAnsi"/>
                <w:bCs/>
                <w:color w:val="000000"/>
                <w:sz w:val="22"/>
                <w:szCs w:val="22"/>
              </w:rPr>
            </w:pPr>
            <w:r w:rsidRPr="00726F56">
              <w:rPr>
                <w:rFonts w:eastAsiaTheme="minorHAnsi"/>
                <w:bCs/>
                <w:color w:val="000000"/>
                <w:sz w:val="22"/>
                <w:szCs w:val="22"/>
              </w:rPr>
              <w:t xml:space="preserve">Risk of breaching bank covenants. Reduced from (12) HIGH to (9) MEDIUM to reflect removal of Nat West covenant which indicated a risk of breaching. Revised risk level reflected the projected deficit for 2018/19, reduced reserves due to the Engineering facilities development and the impact of those factors on remaining bank covenant calculations. </w:t>
            </w:r>
          </w:p>
          <w:p w:rsidR="002D5449" w:rsidRPr="00726F56" w:rsidRDefault="002D5449" w:rsidP="00726F56">
            <w:pPr>
              <w:pStyle w:val="ListParagraph"/>
              <w:numPr>
                <w:ilvl w:val="0"/>
                <w:numId w:val="16"/>
              </w:numPr>
              <w:autoSpaceDE w:val="0"/>
              <w:autoSpaceDN w:val="0"/>
              <w:adjustRightInd w:val="0"/>
              <w:jc w:val="both"/>
              <w:rPr>
                <w:rFonts w:eastAsiaTheme="minorHAnsi"/>
                <w:bCs/>
                <w:color w:val="000000"/>
                <w:sz w:val="22"/>
                <w:szCs w:val="22"/>
              </w:rPr>
            </w:pPr>
            <w:r w:rsidRPr="00726F56">
              <w:rPr>
                <w:rFonts w:eastAsiaTheme="minorHAnsi"/>
                <w:bCs/>
                <w:color w:val="000000"/>
                <w:sz w:val="22"/>
                <w:szCs w:val="22"/>
              </w:rPr>
              <w:t xml:space="preserve">Security concerns.  Increased from (4) LOW to (9) MEDIUM to reflect increased level of on-site incidents experienced during 2018/19 particularly at Peakman Campus involving students, parents and associates. </w:t>
            </w:r>
          </w:p>
          <w:p w:rsidR="002D5449" w:rsidRPr="00726F56" w:rsidRDefault="002D5449" w:rsidP="00726F56">
            <w:pPr>
              <w:pStyle w:val="ListParagraph"/>
              <w:numPr>
                <w:ilvl w:val="0"/>
                <w:numId w:val="16"/>
              </w:numPr>
              <w:autoSpaceDE w:val="0"/>
              <w:autoSpaceDN w:val="0"/>
              <w:adjustRightInd w:val="0"/>
              <w:jc w:val="both"/>
              <w:rPr>
                <w:rFonts w:eastAsiaTheme="minorHAnsi"/>
                <w:color w:val="000000"/>
                <w:sz w:val="22"/>
                <w:szCs w:val="22"/>
              </w:rPr>
            </w:pPr>
            <w:r w:rsidRPr="00726F56">
              <w:rPr>
                <w:rFonts w:eastAsiaTheme="minorHAnsi"/>
                <w:bCs/>
                <w:color w:val="000000"/>
                <w:sz w:val="22"/>
                <w:szCs w:val="22"/>
              </w:rPr>
              <w:t xml:space="preserve">Governor recruitment &amp; Corporation diversity Increased from (6) MEDIUM to (9) MEDIUM to reflect inability to improve diversity during 2018/19 and inability to progress further until vacancies arise. </w:t>
            </w:r>
          </w:p>
          <w:p w:rsidR="002D5449" w:rsidRPr="00726F56" w:rsidRDefault="002D5449" w:rsidP="00726F56">
            <w:pPr>
              <w:autoSpaceDE w:val="0"/>
              <w:autoSpaceDN w:val="0"/>
              <w:adjustRightInd w:val="0"/>
              <w:jc w:val="both"/>
              <w:rPr>
                <w:rFonts w:eastAsiaTheme="minorHAnsi"/>
                <w:color w:val="000000"/>
                <w:sz w:val="22"/>
                <w:szCs w:val="22"/>
              </w:rPr>
            </w:pPr>
            <w:r w:rsidRPr="00726F56">
              <w:rPr>
                <w:rFonts w:eastAsiaTheme="minorHAnsi"/>
                <w:bCs/>
                <w:color w:val="000000"/>
                <w:sz w:val="22"/>
                <w:szCs w:val="22"/>
              </w:rPr>
              <w:t xml:space="preserve">In addition to the scoring changes the wording to a number of risks had been strengthened to note the current situation </w:t>
            </w:r>
            <w:r w:rsidR="00D16033" w:rsidRPr="00726F56">
              <w:rPr>
                <w:rFonts w:eastAsiaTheme="minorHAnsi"/>
                <w:bCs/>
                <w:color w:val="000000"/>
                <w:sz w:val="22"/>
                <w:szCs w:val="22"/>
              </w:rPr>
              <w:t>in respect of</w:t>
            </w:r>
            <w:r w:rsidRPr="00726F56">
              <w:rPr>
                <w:rFonts w:eastAsiaTheme="minorHAnsi"/>
                <w:bCs/>
                <w:color w:val="000000"/>
                <w:sz w:val="22"/>
                <w:szCs w:val="22"/>
              </w:rPr>
              <w:t xml:space="preserve"> historical issues in Eng</w:t>
            </w:r>
            <w:r w:rsidR="00D16033" w:rsidRPr="00726F56">
              <w:rPr>
                <w:rFonts w:eastAsiaTheme="minorHAnsi"/>
                <w:bCs/>
                <w:color w:val="000000"/>
                <w:sz w:val="22"/>
                <w:szCs w:val="22"/>
              </w:rPr>
              <w:t>ineering provision and staffing.</w:t>
            </w:r>
          </w:p>
        </w:tc>
        <w:tc>
          <w:tcPr>
            <w:tcW w:w="1244" w:type="dxa"/>
          </w:tcPr>
          <w:p w:rsidR="002D5449" w:rsidRPr="00726F56" w:rsidRDefault="002D5449" w:rsidP="00726F56">
            <w:pPr>
              <w:pStyle w:val="NoSpacing"/>
              <w:jc w:val="both"/>
              <w:rPr>
                <w:b/>
                <w:sz w:val="22"/>
                <w:szCs w:val="22"/>
              </w:rPr>
            </w:pPr>
          </w:p>
          <w:p w:rsidR="002D5449" w:rsidRPr="00726F56" w:rsidRDefault="002D5449" w:rsidP="00726F56">
            <w:pPr>
              <w:pStyle w:val="NoSpacing"/>
              <w:jc w:val="both"/>
              <w:rPr>
                <w:b/>
                <w:sz w:val="22"/>
                <w:szCs w:val="22"/>
              </w:rPr>
            </w:pPr>
          </w:p>
          <w:p w:rsidR="002D5449" w:rsidRPr="00726F56" w:rsidRDefault="002D5449" w:rsidP="00726F56">
            <w:pPr>
              <w:pStyle w:val="NoSpacing"/>
              <w:jc w:val="both"/>
              <w:rPr>
                <w:b/>
                <w:sz w:val="22"/>
                <w:szCs w:val="22"/>
              </w:rPr>
            </w:pPr>
          </w:p>
          <w:p w:rsidR="002D5449" w:rsidRPr="00726F56" w:rsidRDefault="002D5449" w:rsidP="00726F56">
            <w:pPr>
              <w:pStyle w:val="NoSpacing"/>
              <w:jc w:val="both"/>
              <w:rPr>
                <w:b/>
                <w:sz w:val="22"/>
                <w:szCs w:val="22"/>
              </w:rPr>
            </w:pPr>
          </w:p>
          <w:p w:rsidR="002D5449" w:rsidRPr="00726F56" w:rsidRDefault="002D5449" w:rsidP="00726F56">
            <w:pPr>
              <w:pStyle w:val="NoSpacing"/>
              <w:jc w:val="both"/>
              <w:rPr>
                <w:b/>
                <w:sz w:val="22"/>
                <w:szCs w:val="22"/>
              </w:rPr>
            </w:pPr>
          </w:p>
          <w:p w:rsidR="002D5449" w:rsidRPr="00726F56" w:rsidRDefault="002D5449" w:rsidP="00726F56">
            <w:pPr>
              <w:pStyle w:val="NoSpacing"/>
              <w:jc w:val="both"/>
              <w:rPr>
                <w:b/>
                <w:sz w:val="22"/>
                <w:szCs w:val="22"/>
              </w:rPr>
            </w:pPr>
          </w:p>
          <w:p w:rsidR="002D5449" w:rsidRPr="00726F56" w:rsidRDefault="002D5449" w:rsidP="00726F56">
            <w:pPr>
              <w:pStyle w:val="NoSpacing"/>
              <w:jc w:val="both"/>
              <w:rPr>
                <w:b/>
                <w:sz w:val="22"/>
                <w:szCs w:val="22"/>
              </w:rPr>
            </w:pPr>
          </w:p>
        </w:tc>
      </w:tr>
      <w:tr w:rsidR="002D5449" w:rsidRPr="00726F56" w:rsidTr="004562FD">
        <w:trPr>
          <w:jc w:val="center"/>
        </w:trPr>
        <w:tc>
          <w:tcPr>
            <w:tcW w:w="767" w:type="dxa"/>
          </w:tcPr>
          <w:p w:rsidR="002D5449" w:rsidRPr="00726F56" w:rsidRDefault="002D5449" w:rsidP="00726F56">
            <w:pPr>
              <w:jc w:val="both"/>
              <w:rPr>
                <w:b/>
                <w:sz w:val="22"/>
                <w:szCs w:val="22"/>
              </w:rPr>
            </w:pPr>
          </w:p>
        </w:tc>
        <w:tc>
          <w:tcPr>
            <w:tcW w:w="7027" w:type="dxa"/>
          </w:tcPr>
          <w:p w:rsidR="002D5449" w:rsidRPr="00726F56" w:rsidRDefault="002D5449" w:rsidP="00726F56">
            <w:pPr>
              <w:jc w:val="both"/>
              <w:rPr>
                <w:rFonts w:eastAsiaTheme="minorHAnsi"/>
                <w:b/>
                <w:bCs/>
                <w:color w:val="000000"/>
                <w:sz w:val="22"/>
                <w:szCs w:val="22"/>
              </w:rPr>
            </w:pPr>
          </w:p>
        </w:tc>
        <w:tc>
          <w:tcPr>
            <w:tcW w:w="1244" w:type="dxa"/>
          </w:tcPr>
          <w:p w:rsidR="002D5449" w:rsidRPr="00726F56" w:rsidRDefault="002D5449" w:rsidP="00726F56">
            <w:pPr>
              <w:pStyle w:val="NoSpacing"/>
              <w:jc w:val="both"/>
              <w:rPr>
                <w:b/>
                <w:sz w:val="22"/>
                <w:szCs w:val="22"/>
              </w:rPr>
            </w:pPr>
          </w:p>
        </w:tc>
      </w:tr>
      <w:tr w:rsidR="002D5449" w:rsidRPr="00726F56" w:rsidTr="004562FD">
        <w:trPr>
          <w:jc w:val="center"/>
        </w:trPr>
        <w:tc>
          <w:tcPr>
            <w:tcW w:w="767" w:type="dxa"/>
          </w:tcPr>
          <w:p w:rsidR="002D5449" w:rsidRPr="00726F56" w:rsidRDefault="002D5449" w:rsidP="00726F56">
            <w:pPr>
              <w:jc w:val="both"/>
              <w:rPr>
                <w:b/>
                <w:sz w:val="22"/>
                <w:szCs w:val="22"/>
              </w:rPr>
            </w:pPr>
          </w:p>
        </w:tc>
        <w:tc>
          <w:tcPr>
            <w:tcW w:w="7027" w:type="dxa"/>
          </w:tcPr>
          <w:p w:rsidR="002D5449" w:rsidRPr="00726F56" w:rsidRDefault="001D27CE" w:rsidP="00726F56">
            <w:pPr>
              <w:jc w:val="both"/>
              <w:rPr>
                <w:sz w:val="22"/>
                <w:szCs w:val="22"/>
              </w:rPr>
            </w:pPr>
            <w:r w:rsidRPr="00726F56">
              <w:rPr>
                <w:bCs/>
                <w:sz w:val="22"/>
                <w:szCs w:val="22"/>
              </w:rPr>
              <w:t>A Governor c</w:t>
            </w:r>
            <w:r w:rsidR="002D5449" w:rsidRPr="00726F56">
              <w:rPr>
                <w:bCs/>
                <w:sz w:val="22"/>
                <w:szCs w:val="22"/>
              </w:rPr>
              <w:t xml:space="preserve">hallenged the </w:t>
            </w:r>
            <w:r w:rsidRPr="00726F56">
              <w:rPr>
                <w:bCs/>
                <w:sz w:val="22"/>
                <w:szCs w:val="22"/>
              </w:rPr>
              <w:t xml:space="preserve">Clerk to the Corporation </w:t>
            </w:r>
            <w:r w:rsidR="002D5449" w:rsidRPr="00726F56">
              <w:rPr>
                <w:sz w:val="22"/>
                <w:szCs w:val="22"/>
              </w:rPr>
              <w:t>asking</w:t>
            </w:r>
            <w:r w:rsidRPr="00726F56">
              <w:rPr>
                <w:sz w:val="22"/>
                <w:szCs w:val="22"/>
              </w:rPr>
              <w:t xml:space="preserve"> why the recruitment risk had been increased as the Governance and Search Committee had done all it could in terms of recruitment and had always selected the best candidate interviewed. The Clerk to the Corporation stated that the Corporation’s lack of diversity remained an issue and that the risk had been increased as there were currently no vacancies and therefore there was little scope to seek diverse applicants until more recruitment activity in 2019/20.  </w:t>
            </w:r>
          </w:p>
        </w:tc>
        <w:tc>
          <w:tcPr>
            <w:tcW w:w="1244" w:type="dxa"/>
          </w:tcPr>
          <w:p w:rsidR="002D5449" w:rsidRPr="00726F56" w:rsidRDefault="002D5449" w:rsidP="00726F56">
            <w:pPr>
              <w:pStyle w:val="NoSpacing"/>
              <w:jc w:val="both"/>
              <w:rPr>
                <w:b/>
                <w:sz w:val="22"/>
                <w:szCs w:val="22"/>
              </w:rPr>
            </w:pPr>
          </w:p>
        </w:tc>
      </w:tr>
      <w:tr w:rsidR="002D5449" w:rsidRPr="00726F56" w:rsidTr="004562FD">
        <w:trPr>
          <w:jc w:val="center"/>
        </w:trPr>
        <w:tc>
          <w:tcPr>
            <w:tcW w:w="767" w:type="dxa"/>
          </w:tcPr>
          <w:p w:rsidR="002D5449" w:rsidRPr="00726F56" w:rsidRDefault="002D5449" w:rsidP="00726F56">
            <w:pPr>
              <w:jc w:val="both"/>
              <w:rPr>
                <w:b/>
                <w:sz w:val="22"/>
                <w:szCs w:val="22"/>
              </w:rPr>
            </w:pPr>
          </w:p>
        </w:tc>
        <w:tc>
          <w:tcPr>
            <w:tcW w:w="7027" w:type="dxa"/>
          </w:tcPr>
          <w:p w:rsidR="002D5449" w:rsidRPr="00726F56" w:rsidRDefault="002D5449" w:rsidP="00726F56">
            <w:pPr>
              <w:jc w:val="both"/>
              <w:rPr>
                <w:bCs/>
                <w:sz w:val="22"/>
                <w:szCs w:val="22"/>
              </w:rPr>
            </w:pPr>
          </w:p>
        </w:tc>
        <w:tc>
          <w:tcPr>
            <w:tcW w:w="1244" w:type="dxa"/>
          </w:tcPr>
          <w:p w:rsidR="002D5449" w:rsidRPr="00726F56" w:rsidRDefault="002D5449" w:rsidP="00726F56">
            <w:pPr>
              <w:pStyle w:val="NoSpacing"/>
              <w:jc w:val="both"/>
              <w:rPr>
                <w:b/>
                <w:sz w:val="22"/>
                <w:szCs w:val="22"/>
              </w:rPr>
            </w:pPr>
          </w:p>
        </w:tc>
      </w:tr>
      <w:tr w:rsidR="002D5449" w:rsidRPr="00726F56" w:rsidTr="004562FD">
        <w:trPr>
          <w:jc w:val="center"/>
        </w:trPr>
        <w:tc>
          <w:tcPr>
            <w:tcW w:w="767" w:type="dxa"/>
          </w:tcPr>
          <w:p w:rsidR="002D5449" w:rsidRPr="00726F56" w:rsidRDefault="002D5449" w:rsidP="00726F56">
            <w:pPr>
              <w:jc w:val="both"/>
              <w:rPr>
                <w:b/>
                <w:sz w:val="22"/>
                <w:szCs w:val="22"/>
              </w:rPr>
            </w:pPr>
          </w:p>
        </w:tc>
        <w:tc>
          <w:tcPr>
            <w:tcW w:w="7027" w:type="dxa"/>
          </w:tcPr>
          <w:p w:rsidR="002D5449" w:rsidRPr="00726F56" w:rsidRDefault="002D5449" w:rsidP="00726F56">
            <w:pPr>
              <w:jc w:val="both"/>
              <w:rPr>
                <w:bCs/>
                <w:sz w:val="22"/>
                <w:szCs w:val="22"/>
              </w:rPr>
            </w:pPr>
            <w:r w:rsidRPr="00726F56">
              <w:rPr>
                <w:bCs/>
                <w:sz w:val="22"/>
                <w:szCs w:val="22"/>
              </w:rPr>
              <w:t xml:space="preserve">The Audit Committee </w:t>
            </w:r>
            <w:r w:rsidRPr="00726F56">
              <w:rPr>
                <w:b/>
                <w:bCs/>
                <w:sz w:val="22"/>
                <w:szCs w:val="22"/>
              </w:rPr>
              <w:t>MONITORED</w:t>
            </w:r>
            <w:r w:rsidRPr="00726F56">
              <w:rPr>
                <w:bCs/>
                <w:sz w:val="22"/>
                <w:szCs w:val="22"/>
              </w:rPr>
              <w:t xml:space="preserve"> the College Risk Register. </w:t>
            </w:r>
          </w:p>
        </w:tc>
        <w:tc>
          <w:tcPr>
            <w:tcW w:w="1244" w:type="dxa"/>
          </w:tcPr>
          <w:p w:rsidR="002D5449" w:rsidRPr="00726F56" w:rsidRDefault="002D5449" w:rsidP="00726F56">
            <w:pPr>
              <w:pStyle w:val="NoSpacing"/>
              <w:jc w:val="both"/>
              <w:rPr>
                <w:b/>
                <w:sz w:val="22"/>
                <w:szCs w:val="22"/>
              </w:rPr>
            </w:pPr>
          </w:p>
        </w:tc>
      </w:tr>
      <w:tr w:rsidR="00D16033" w:rsidRPr="00726F56" w:rsidTr="004562FD">
        <w:trPr>
          <w:jc w:val="center"/>
        </w:trPr>
        <w:tc>
          <w:tcPr>
            <w:tcW w:w="767" w:type="dxa"/>
          </w:tcPr>
          <w:p w:rsidR="00D16033" w:rsidRPr="00726F56" w:rsidRDefault="00D16033" w:rsidP="00726F56">
            <w:pPr>
              <w:jc w:val="both"/>
              <w:rPr>
                <w:b/>
                <w:sz w:val="22"/>
                <w:szCs w:val="22"/>
              </w:rPr>
            </w:pPr>
          </w:p>
        </w:tc>
        <w:tc>
          <w:tcPr>
            <w:tcW w:w="7027" w:type="dxa"/>
          </w:tcPr>
          <w:p w:rsidR="00D16033" w:rsidRPr="00726F56" w:rsidRDefault="00D16033" w:rsidP="00726F56">
            <w:pPr>
              <w:jc w:val="both"/>
              <w:rPr>
                <w:bCs/>
                <w:sz w:val="22"/>
                <w:szCs w:val="22"/>
              </w:rPr>
            </w:pPr>
          </w:p>
        </w:tc>
        <w:tc>
          <w:tcPr>
            <w:tcW w:w="1244" w:type="dxa"/>
          </w:tcPr>
          <w:p w:rsidR="00D16033" w:rsidRPr="00726F56" w:rsidRDefault="00D16033" w:rsidP="00726F56">
            <w:pPr>
              <w:pStyle w:val="NoSpacing"/>
              <w:jc w:val="both"/>
              <w:rPr>
                <w:b/>
                <w:sz w:val="22"/>
                <w:szCs w:val="22"/>
              </w:rPr>
            </w:pPr>
          </w:p>
        </w:tc>
      </w:tr>
      <w:tr w:rsidR="00D16033" w:rsidRPr="00726F56" w:rsidTr="004562FD">
        <w:trPr>
          <w:jc w:val="center"/>
        </w:trPr>
        <w:tc>
          <w:tcPr>
            <w:tcW w:w="767" w:type="dxa"/>
          </w:tcPr>
          <w:p w:rsidR="00D16033" w:rsidRPr="00726F56" w:rsidRDefault="00D16033" w:rsidP="00726F56">
            <w:pPr>
              <w:jc w:val="both"/>
              <w:rPr>
                <w:b/>
                <w:sz w:val="22"/>
                <w:szCs w:val="22"/>
              </w:rPr>
            </w:pPr>
            <w:r w:rsidRPr="00726F56">
              <w:rPr>
                <w:b/>
                <w:sz w:val="22"/>
                <w:szCs w:val="22"/>
              </w:rPr>
              <w:t>ii)</w:t>
            </w:r>
          </w:p>
        </w:tc>
        <w:tc>
          <w:tcPr>
            <w:tcW w:w="7027" w:type="dxa"/>
          </w:tcPr>
          <w:p w:rsidR="00D16033" w:rsidRPr="00726F56" w:rsidRDefault="00D16033" w:rsidP="00726F56">
            <w:pPr>
              <w:pStyle w:val="Heading4"/>
              <w:spacing w:before="0"/>
              <w:jc w:val="both"/>
              <w:outlineLvl w:val="3"/>
              <w:rPr>
                <w:rFonts w:ascii="Arial" w:hAnsi="Arial" w:cs="Arial"/>
                <w:i w:val="0"/>
                <w:color w:val="auto"/>
                <w:sz w:val="22"/>
                <w:szCs w:val="22"/>
              </w:rPr>
            </w:pPr>
            <w:r w:rsidRPr="00726F56">
              <w:rPr>
                <w:rFonts w:ascii="Arial" w:hAnsi="Arial" w:cs="Arial"/>
                <w:i w:val="0"/>
                <w:color w:val="auto"/>
                <w:sz w:val="22"/>
                <w:szCs w:val="22"/>
              </w:rPr>
              <w:t>Further Education Risk Register Analysis - Managing risks effectively, efficiently and proportionally – 2019 analysis</w:t>
            </w:r>
          </w:p>
        </w:tc>
        <w:tc>
          <w:tcPr>
            <w:tcW w:w="1244" w:type="dxa"/>
          </w:tcPr>
          <w:p w:rsidR="00D16033" w:rsidRPr="00726F56" w:rsidRDefault="00D16033" w:rsidP="00726F56">
            <w:pPr>
              <w:pStyle w:val="NoSpacing"/>
              <w:jc w:val="both"/>
              <w:rPr>
                <w:b/>
                <w:sz w:val="22"/>
                <w:szCs w:val="22"/>
              </w:rPr>
            </w:pPr>
          </w:p>
        </w:tc>
      </w:tr>
      <w:tr w:rsidR="00D16033" w:rsidRPr="00726F56" w:rsidTr="004562FD">
        <w:trPr>
          <w:jc w:val="center"/>
        </w:trPr>
        <w:tc>
          <w:tcPr>
            <w:tcW w:w="767" w:type="dxa"/>
          </w:tcPr>
          <w:p w:rsidR="00D16033" w:rsidRPr="00726F56" w:rsidRDefault="00D16033" w:rsidP="00726F56">
            <w:pPr>
              <w:jc w:val="both"/>
              <w:rPr>
                <w:b/>
                <w:sz w:val="22"/>
                <w:szCs w:val="22"/>
              </w:rPr>
            </w:pPr>
          </w:p>
        </w:tc>
        <w:tc>
          <w:tcPr>
            <w:tcW w:w="7027" w:type="dxa"/>
          </w:tcPr>
          <w:p w:rsidR="00D16033" w:rsidRPr="00726F56" w:rsidRDefault="00D16033" w:rsidP="00726F56">
            <w:pPr>
              <w:pStyle w:val="Heading4"/>
              <w:spacing w:before="0"/>
              <w:jc w:val="both"/>
              <w:outlineLvl w:val="3"/>
              <w:rPr>
                <w:rFonts w:ascii="Arial" w:hAnsi="Arial" w:cs="Arial"/>
                <w:sz w:val="22"/>
                <w:szCs w:val="22"/>
              </w:rPr>
            </w:pPr>
            <w:r w:rsidRPr="00726F56">
              <w:rPr>
                <w:rFonts w:ascii="Arial" w:hAnsi="Arial" w:cs="Arial"/>
                <w:b w:val="0"/>
                <w:i w:val="0"/>
                <w:color w:val="auto"/>
                <w:sz w:val="22"/>
                <w:szCs w:val="22"/>
              </w:rPr>
              <w:t>Louise Tweedie, Director RSM Risk Assurance Services LLP, presented the report, highlighting</w:t>
            </w:r>
            <w:r w:rsidR="00AA3B48" w:rsidRPr="00726F56">
              <w:rPr>
                <w:rFonts w:ascii="Arial" w:hAnsi="Arial" w:cs="Arial"/>
                <w:b w:val="0"/>
                <w:i w:val="0"/>
                <w:color w:val="auto"/>
                <w:sz w:val="22"/>
                <w:szCs w:val="22"/>
              </w:rPr>
              <w:t xml:space="preserve"> the changes to the top five risk themes.  Finance and Strategy remained the highest risk, with increased scores compared with the previous year.  At risk 5 compliance had displaced collaboration/mergers, probably due to the focus on Apprenticeships and the General Data Protection Regulations.</w:t>
            </w:r>
          </w:p>
        </w:tc>
        <w:tc>
          <w:tcPr>
            <w:tcW w:w="1244" w:type="dxa"/>
          </w:tcPr>
          <w:p w:rsidR="00D16033" w:rsidRPr="00726F56" w:rsidRDefault="00D16033" w:rsidP="00726F56">
            <w:pPr>
              <w:pStyle w:val="NoSpacing"/>
              <w:jc w:val="both"/>
              <w:rPr>
                <w:b/>
                <w:sz w:val="22"/>
                <w:szCs w:val="22"/>
              </w:rPr>
            </w:pPr>
          </w:p>
        </w:tc>
      </w:tr>
      <w:tr w:rsidR="00AA3B48" w:rsidRPr="00726F56" w:rsidTr="004562FD">
        <w:trPr>
          <w:jc w:val="center"/>
        </w:trPr>
        <w:tc>
          <w:tcPr>
            <w:tcW w:w="767" w:type="dxa"/>
          </w:tcPr>
          <w:p w:rsidR="00AA3B48" w:rsidRPr="00726F56" w:rsidRDefault="00AA3B48" w:rsidP="00726F56">
            <w:pPr>
              <w:jc w:val="both"/>
              <w:rPr>
                <w:b/>
                <w:sz w:val="22"/>
                <w:szCs w:val="22"/>
              </w:rPr>
            </w:pPr>
          </w:p>
        </w:tc>
        <w:tc>
          <w:tcPr>
            <w:tcW w:w="7027" w:type="dxa"/>
          </w:tcPr>
          <w:p w:rsidR="00AA3B48" w:rsidRPr="00726F56" w:rsidRDefault="00AA3B48" w:rsidP="00726F56">
            <w:pPr>
              <w:autoSpaceDE w:val="0"/>
              <w:autoSpaceDN w:val="0"/>
              <w:adjustRightInd w:val="0"/>
              <w:jc w:val="both"/>
              <w:rPr>
                <w:color w:val="FF0000"/>
                <w:sz w:val="22"/>
                <w:szCs w:val="22"/>
              </w:rPr>
            </w:pPr>
          </w:p>
        </w:tc>
        <w:tc>
          <w:tcPr>
            <w:tcW w:w="1244" w:type="dxa"/>
          </w:tcPr>
          <w:p w:rsidR="00AA3B48" w:rsidRPr="00726F56" w:rsidRDefault="00AA3B48" w:rsidP="00726F56">
            <w:pPr>
              <w:pStyle w:val="NoSpacing"/>
              <w:jc w:val="both"/>
              <w:rPr>
                <w:b/>
                <w:sz w:val="22"/>
                <w:szCs w:val="22"/>
              </w:rPr>
            </w:pPr>
          </w:p>
        </w:tc>
      </w:tr>
      <w:tr w:rsidR="00AA3B48" w:rsidRPr="00726F56" w:rsidTr="004562FD">
        <w:trPr>
          <w:jc w:val="center"/>
        </w:trPr>
        <w:tc>
          <w:tcPr>
            <w:tcW w:w="767" w:type="dxa"/>
          </w:tcPr>
          <w:p w:rsidR="00AA3B48" w:rsidRPr="00726F56" w:rsidRDefault="00AA3B48" w:rsidP="00726F56">
            <w:pPr>
              <w:jc w:val="both"/>
              <w:rPr>
                <w:b/>
                <w:sz w:val="22"/>
                <w:szCs w:val="22"/>
              </w:rPr>
            </w:pPr>
          </w:p>
        </w:tc>
        <w:tc>
          <w:tcPr>
            <w:tcW w:w="7027" w:type="dxa"/>
          </w:tcPr>
          <w:p w:rsidR="00AA3B48" w:rsidRPr="00726F56" w:rsidRDefault="00AA3B48" w:rsidP="00726F56">
            <w:pPr>
              <w:jc w:val="both"/>
              <w:rPr>
                <w:sz w:val="22"/>
                <w:szCs w:val="22"/>
              </w:rPr>
            </w:pPr>
            <w:r w:rsidRPr="00726F56">
              <w:rPr>
                <w:sz w:val="22"/>
                <w:szCs w:val="22"/>
              </w:rPr>
              <w:t xml:space="preserve">Governors felt that the report was a really useful summary document and challenged the </w:t>
            </w:r>
            <w:r w:rsidRPr="00726F56">
              <w:rPr>
                <w:bCs/>
                <w:sz w:val="22"/>
                <w:szCs w:val="22"/>
              </w:rPr>
              <w:t>Vice Principal and Deputy Chief Executive</w:t>
            </w:r>
            <w:r w:rsidRPr="00726F56">
              <w:rPr>
                <w:sz w:val="22"/>
                <w:szCs w:val="22"/>
              </w:rPr>
              <w:t xml:space="preserve"> Officer, asking whether any compliance </w:t>
            </w:r>
            <w:r w:rsidR="002B31C2" w:rsidRPr="00726F56">
              <w:rPr>
                <w:sz w:val="22"/>
                <w:szCs w:val="22"/>
              </w:rPr>
              <w:t>risks</w:t>
            </w:r>
            <w:r w:rsidRPr="00726F56">
              <w:rPr>
                <w:sz w:val="22"/>
                <w:szCs w:val="22"/>
              </w:rPr>
              <w:t xml:space="preserve"> in the Risk </w:t>
            </w:r>
            <w:r w:rsidR="002B31C2" w:rsidRPr="00726F56">
              <w:rPr>
                <w:sz w:val="22"/>
                <w:szCs w:val="22"/>
              </w:rPr>
              <w:t>Register</w:t>
            </w:r>
            <w:r w:rsidRPr="00726F56">
              <w:rPr>
                <w:sz w:val="22"/>
                <w:szCs w:val="22"/>
              </w:rPr>
              <w:t xml:space="preserve"> should be increased in response to the </w:t>
            </w:r>
            <w:r w:rsidR="00726F56" w:rsidRPr="00726F56">
              <w:rPr>
                <w:sz w:val="22"/>
                <w:szCs w:val="22"/>
              </w:rPr>
              <w:t>heightened</w:t>
            </w:r>
            <w:r w:rsidRPr="00726F56">
              <w:rPr>
                <w:sz w:val="22"/>
                <w:szCs w:val="22"/>
              </w:rPr>
              <w:t xml:space="preserve"> sector perception and whether there would be benefit in Governors being given confirmation of the College position in respect of the report.  The </w:t>
            </w:r>
            <w:r w:rsidRPr="00726F56">
              <w:rPr>
                <w:bCs/>
                <w:sz w:val="22"/>
                <w:szCs w:val="22"/>
              </w:rPr>
              <w:t>Vice Principal and Deputy Chief Executive</w:t>
            </w:r>
            <w:r w:rsidRPr="00726F56">
              <w:rPr>
                <w:sz w:val="22"/>
                <w:szCs w:val="22"/>
              </w:rPr>
              <w:t xml:space="preserve"> Officer responded that most of the risks in the </w:t>
            </w:r>
            <w:r w:rsidR="00726F56" w:rsidRPr="00726F56">
              <w:rPr>
                <w:sz w:val="22"/>
                <w:szCs w:val="22"/>
              </w:rPr>
              <w:t>document</w:t>
            </w:r>
            <w:r w:rsidRPr="00726F56">
              <w:rPr>
                <w:sz w:val="22"/>
                <w:szCs w:val="22"/>
              </w:rPr>
              <w:t xml:space="preserve"> were in the Risk Register and that key aspects would also be covered by Internal Audit reports.  The Principal noted that some Colleges reported Health and Safety risks </w:t>
            </w:r>
            <w:r w:rsidR="00726F56" w:rsidRPr="00726F56">
              <w:rPr>
                <w:sz w:val="22"/>
                <w:szCs w:val="22"/>
              </w:rPr>
              <w:t>being</w:t>
            </w:r>
            <w:r w:rsidRPr="00726F56">
              <w:rPr>
                <w:sz w:val="22"/>
                <w:szCs w:val="22"/>
              </w:rPr>
              <w:t xml:space="preserve"> increased as a lack of investment in maintenance, which was a </w:t>
            </w:r>
            <w:r w:rsidR="002B31C2" w:rsidRPr="00726F56">
              <w:rPr>
                <w:sz w:val="22"/>
                <w:szCs w:val="22"/>
              </w:rPr>
              <w:t>result</w:t>
            </w:r>
            <w:r w:rsidRPr="00726F56">
              <w:rPr>
                <w:sz w:val="22"/>
                <w:szCs w:val="22"/>
              </w:rPr>
              <w:t xml:space="preserve"> of the funding crisis and was not an issue in the College. </w:t>
            </w:r>
          </w:p>
        </w:tc>
        <w:tc>
          <w:tcPr>
            <w:tcW w:w="1244" w:type="dxa"/>
          </w:tcPr>
          <w:p w:rsidR="00AA3B48" w:rsidRPr="00726F56" w:rsidRDefault="00AA3B48" w:rsidP="00726F56">
            <w:pPr>
              <w:pStyle w:val="NoSpacing"/>
              <w:jc w:val="both"/>
              <w:rPr>
                <w:b/>
                <w:sz w:val="22"/>
                <w:szCs w:val="22"/>
              </w:rPr>
            </w:pPr>
          </w:p>
        </w:tc>
      </w:tr>
      <w:tr w:rsidR="00D16033" w:rsidRPr="00726F56" w:rsidTr="004562FD">
        <w:trPr>
          <w:jc w:val="center"/>
        </w:trPr>
        <w:tc>
          <w:tcPr>
            <w:tcW w:w="767" w:type="dxa"/>
          </w:tcPr>
          <w:p w:rsidR="00D16033" w:rsidRPr="00726F56" w:rsidRDefault="00D16033" w:rsidP="00726F56">
            <w:pPr>
              <w:jc w:val="both"/>
              <w:rPr>
                <w:b/>
                <w:sz w:val="22"/>
                <w:szCs w:val="22"/>
              </w:rPr>
            </w:pPr>
          </w:p>
        </w:tc>
        <w:tc>
          <w:tcPr>
            <w:tcW w:w="7027" w:type="dxa"/>
          </w:tcPr>
          <w:p w:rsidR="00D16033" w:rsidRPr="00726F56" w:rsidRDefault="00D16033" w:rsidP="00726F56">
            <w:pPr>
              <w:autoSpaceDE w:val="0"/>
              <w:autoSpaceDN w:val="0"/>
              <w:adjustRightInd w:val="0"/>
              <w:jc w:val="both"/>
              <w:rPr>
                <w:color w:val="FF0000"/>
                <w:sz w:val="22"/>
                <w:szCs w:val="22"/>
              </w:rPr>
            </w:pPr>
          </w:p>
        </w:tc>
        <w:tc>
          <w:tcPr>
            <w:tcW w:w="1244" w:type="dxa"/>
          </w:tcPr>
          <w:p w:rsidR="00D16033" w:rsidRPr="00726F56" w:rsidRDefault="00D16033" w:rsidP="00726F56">
            <w:pPr>
              <w:pStyle w:val="NoSpacing"/>
              <w:jc w:val="both"/>
              <w:rPr>
                <w:b/>
                <w:sz w:val="22"/>
                <w:szCs w:val="22"/>
              </w:rPr>
            </w:pPr>
          </w:p>
        </w:tc>
      </w:tr>
      <w:tr w:rsidR="00D16033" w:rsidRPr="00726F56" w:rsidTr="004562FD">
        <w:trPr>
          <w:jc w:val="center"/>
        </w:trPr>
        <w:tc>
          <w:tcPr>
            <w:tcW w:w="767" w:type="dxa"/>
          </w:tcPr>
          <w:p w:rsidR="00D16033" w:rsidRPr="00726F56" w:rsidRDefault="00D16033" w:rsidP="00726F56">
            <w:pPr>
              <w:jc w:val="both"/>
              <w:rPr>
                <w:b/>
                <w:sz w:val="22"/>
                <w:szCs w:val="22"/>
              </w:rPr>
            </w:pPr>
          </w:p>
        </w:tc>
        <w:tc>
          <w:tcPr>
            <w:tcW w:w="7027" w:type="dxa"/>
          </w:tcPr>
          <w:p w:rsidR="002B31C2" w:rsidRPr="00726F56" w:rsidRDefault="00D16033" w:rsidP="00726F56">
            <w:pPr>
              <w:jc w:val="both"/>
              <w:rPr>
                <w:rFonts w:eastAsiaTheme="minorHAnsi"/>
                <w:sz w:val="22"/>
                <w:szCs w:val="22"/>
              </w:rPr>
            </w:pPr>
            <w:r w:rsidRPr="00726F56">
              <w:rPr>
                <w:rFonts w:eastAsiaTheme="minorHAnsi"/>
                <w:sz w:val="22"/>
                <w:szCs w:val="22"/>
              </w:rPr>
              <w:t xml:space="preserve">The Chair asked Members </w:t>
            </w:r>
            <w:r w:rsidR="002B31C2" w:rsidRPr="00726F56">
              <w:rPr>
                <w:rFonts w:eastAsiaTheme="minorHAnsi"/>
                <w:sz w:val="22"/>
                <w:szCs w:val="22"/>
              </w:rPr>
              <w:t xml:space="preserve">if anything had arisen from the reports as subjects requiring risk presentations to the Audit Committee:  </w:t>
            </w:r>
          </w:p>
          <w:p w:rsidR="00D16033" w:rsidRPr="00726F56" w:rsidRDefault="002B31C2" w:rsidP="00726F56">
            <w:pPr>
              <w:pStyle w:val="ListParagraph"/>
              <w:numPr>
                <w:ilvl w:val="0"/>
                <w:numId w:val="35"/>
              </w:numPr>
              <w:jc w:val="both"/>
              <w:rPr>
                <w:sz w:val="22"/>
                <w:szCs w:val="22"/>
              </w:rPr>
            </w:pPr>
            <w:r w:rsidRPr="00726F56">
              <w:rPr>
                <w:rFonts w:eastAsiaTheme="minorHAnsi"/>
                <w:sz w:val="22"/>
                <w:szCs w:val="22"/>
              </w:rPr>
              <w:t xml:space="preserve">The </w:t>
            </w:r>
            <w:r w:rsidRPr="00726F56">
              <w:rPr>
                <w:bCs/>
                <w:sz w:val="22"/>
                <w:szCs w:val="22"/>
              </w:rPr>
              <w:t>Vice Principal and Deputy Chief Executive</w:t>
            </w:r>
            <w:r w:rsidRPr="00726F56">
              <w:rPr>
                <w:sz w:val="22"/>
                <w:szCs w:val="22"/>
              </w:rPr>
              <w:t xml:space="preserve"> Officer agreed to produce a brief summary of assurances in key areas.</w:t>
            </w:r>
            <w:r w:rsidRPr="00726F56">
              <w:rPr>
                <w:rFonts w:eastAsiaTheme="minorHAnsi"/>
                <w:sz w:val="22"/>
                <w:szCs w:val="22"/>
              </w:rPr>
              <w:t xml:space="preserve">  </w:t>
            </w:r>
          </w:p>
        </w:tc>
        <w:tc>
          <w:tcPr>
            <w:tcW w:w="1244" w:type="dxa"/>
          </w:tcPr>
          <w:p w:rsidR="00D16033" w:rsidRPr="00726F56" w:rsidRDefault="00D16033" w:rsidP="00726F56">
            <w:pPr>
              <w:pStyle w:val="NoSpacing"/>
              <w:jc w:val="both"/>
              <w:rPr>
                <w:b/>
                <w:sz w:val="22"/>
                <w:szCs w:val="22"/>
              </w:rPr>
            </w:pPr>
          </w:p>
          <w:p w:rsidR="002B31C2" w:rsidRPr="00726F56" w:rsidRDefault="002B31C2" w:rsidP="00726F56">
            <w:pPr>
              <w:pStyle w:val="NoSpacing"/>
              <w:jc w:val="both"/>
              <w:rPr>
                <w:b/>
                <w:sz w:val="22"/>
                <w:szCs w:val="22"/>
              </w:rPr>
            </w:pPr>
          </w:p>
          <w:p w:rsidR="002B31C2" w:rsidRPr="00726F56" w:rsidRDefault="002B31C2" w:rsidP="00726F56">
            <w:pPr>
              <w:pStyle w:val="NoSpacing"/>
              <w:jc w:val="both"/>
              <w:rPr>
                <w:b/>
                <w:sz w:val="22"/>
                <w:szCs w:val="22"/>
              </w:rPr>
            </w:pPr>
            <w:r w:rsidRPr="00726F56">
              <w:rPr>
                <w:b/>
                <w:sz w:val="22"/>
                <w:szCs w:val="22"/>
              </w:rPr>
              <w:t>VPDCEO</w:t>
            </w:r>
          </w:p>
        </w:tc>
      </w:tr>
      <w:tr w:rsidR="002B31C2" w:rsidRPr="00726F56" w:rsidTr="004562FD">
        <w:trPr>
          <w:jc w:val="center"/>
        </w:trPr>
        <w:tc>
          <w:tcPr>
            <w:tcW w:w="767" w:type="dxa"/>
          </w:tcPr>
          <w:p w:rsidR="002B31C2" w:rsidRPr="00726F56" w:rsidRDefault="002B31C2" w:rsidP="00726F56">
            <w:pPr>
              <w:jc w:val="both"/>
              <w:rPr>
                <w:b/>
                <w:sz w:val="22"/>
                <w:szCs w:val="22"/>
              </w:rPr>
            </w:pPr>
          </w:p>
        </w:tc>
        <w:tc>
          <w:tcPr>
            <w:tcW w:w="7027" w:type="dxa"/>
          </w:tcPr>
          <w:p w:rsidR="002B31C2" w:rsidRPr="00726F56" w:rsidRDefault="00481677" w:rsidP="00481677">
            <w:pPr>
              <w:pStyle w:val="ListParagraph"/>
              <w:numPr>
                <w:ilvl w:val="0"/>
                <w:numId w:val="35"/>
              </w:numPr>
              <w:autoSpaceDE w:val="0"/>
              <w:autoSpaceDN w:val="0"/>
              <w:adjustRightInd w:val="0"/>
              <w:jc w:val="both"/>
              <w:rPr>
                <w:sz w:val="22"/>
                <w:szCs w:val="22"/>
              </w:rPr>
            </w:pPr>
            <w:r>
              <w:rPr>
                <w:sz w:val="22"/>
                <w:szCs w:val="22"/>
              </w:rPr>
              <w:t>A</w:t>
            </w:r>
            <w:r w:rsidR="002B31C2" w:rsidRPr="00726F56">
              <w:rPr>
                <w:sz w:val="22"/>
                <w:szCs w:val="22"/>
              </w:rPr>
              <w:t xml:space="preserve"> </w:t>
            </w:r>
            <w:r w:rsidRPr="00726F56">
              <w:rPr>
                <w:sz w:val="22"/>
                <w:szCs w:val="22"/>
              </w:rPr>
              <w:t xml:space="preserve">presentation </w:t>
            </w:r>
            <w:r>
              <w:rPr>
                <w:sz w:val="22"/>
                <w:szCs w:val="22"/>
              </w:rPr>
              <w:t xml:space="preserve">to the </w:t>
            </w:r>
            <w:r w:rsidR="002B31C2" w:rsidRPr="00726F56">
              <w:rPr>
                <w:sz w:val="22"/>
                <w:szCs w:val="22"/>
              </w:rPr>
              <w:t xml:space="preserve">Audit Committee was requested on the risks involved in T-Levels and the interaction with the current general qualifications such as BTECs. </w:t>
            </w:r>
          </w:p>
        </w:tc>
        <w:tc>
          <w:tcPr>
            <w:tcW w:w="1244" w:type="dxa"/>
          </w:tcPr>
          <w:p w:rsidR="00481677" w:rsidRPr="00481677" w:rsidRDefault="00481677" w:rsidP="00761890">
            <w:pPr>
              <w:rPr>
                <w:b/>
                <w:sz w:val="22"/>
                <w:szCs w:val="22"/>
              </w:rPr>
            </w:pPr>
            <w:r w:rsidRPr="00481677">
              <w:rPr>
                <w:b/>
                <w:sz w:val="22"/>
                <w:szCs w:val="22"/>
              </w:rPr>
              <w:t>VPVTE</w:t>
            </w:r>
            <w:r>
              <w:rPr>
                <w:b/>
                <w:sz w:val="22"/>
                <w:szCs w:val="22"/>
              </w:rPr>
              <w:t>/ LB</w:t>
            </w:r>
          </w:p>
          <w:p w:rsidR="002B31C2" w:rsidRPr="00726F56" w:rsidRDefault="002B31C2" w:rsidP="00726F56">
            <w:pPr>
              <w:pStyle w:val="NoSpacing"/>
              <w:jc w:val="both"/>
              <w:rPr>
                <w:b/>
                <w:sz w:val="22"/>
                <w:szCs w:val="22"/>
              </w:rPr>
            </w:pPr>
          </w:p>
        </w:tc>
      </w:tr>
      <w:tr w:rsidR="00D16033" w:rsidRPr="00726F56" w:rsidTr="004562FD">
        <w:trPr>
          <w:jc w:val="center"/>
        </w:trPr>
        <w:tc>
          <w:tcPr>
            <w:tcW w:w="767" w:type="dxa"/>
          </w:tcPr>
          <w:p w:rsidR="00D16033" w:rsidRPr="00726F56" w:rsidRDefault="00D16033" w:rsidP="00726F56">
            <w:pPr>
              <w:jc w:val="both"/>
              <w:rPr>
                <w:b/>
                <w:sz w:val="22"/>
                <w:szCs w:val="22"/>
              </w:rPr>
            </w:pPr>
          </w:p>
        </w:tc>
        <w:tc>
          <w:tcPr>
            <w:tcW w:w="7027" w:type="dxa"/>
          </w:tcPr>
          <w:p w:rsidR="00D16033" w:rsidRPr="00726F56" w:rsidRDefault="002B31C2" w:rsidP="00726F56">
            <w:pPr>
              <w:pStyle w:val="ListParagraph"/>
              <w:numPr>
                <w:ilvl w:val="0"/>
                <w:numId w:val="35"/>
              </w:numPr>
              <w:jc w:val="both"/>
              <w:rPr>
                <w:sz w:val="22"/>
                <w:szCs w:val="22"/>
              </w:rPr>
            </w:pPr>
            <w:r w:rsidRPr="00726F56">
              <w:rPr>
                <w:sz w:val="22"/>
                <w:szCs w:val="22"/>
              </w:rPr>
              <w:t xml:space="preserve">Members discussed whether a presentation on insolvency with particular reference to </w:t>
            </w:r>
            <w:r w:rsidR="00AD439A" w:rsidRPr="00726F56">
              <w:rPr>
                <w:sz w:val="22"/>
                <w:szCs w:val="22"/>
              </w:rPr>
              <w:t>algori</w:t>
            </w:r>
            <w:r w:rsidRPr="00726F56">
              <w:rPr>
                <w:sz w:val="22"/>
                <w:szCs w:val="22"/>
              </w:rPr>
              <w:t xml:space="preserve">thmic analysis or stress testing of closeness to insolvency would be useful.  The </w:t>
            </w:r>
            <w:r w:rsidRPr="00726F56">
              <w:rPr>
                <w:bCs/>
                <w:sz w:val="22"/>
                <w:szCs w:val="22"/>
              </w:rPr>
              <w:t>Vice Principal and Deputy Chief Executive</w:t>
            </w:r>
            <w:r w:rsidRPr="00726F56">
              <w:rPr>
                <w:sz w:val="22"/>
                <w:szCs w:val="22"/>
              </w:rPr>
              <w:t xml:space="preserve"> Officer stated that the ESFA’s Financial Forecast included elements of stress testing and that financial KPIs (including </w:t>
            </w:r>
            <w:proofErr w:type="spellStart"/>
            <w:r w:rsidRPr="00726F56">
              <w:rPr>
                <w:sz w:val="22"/>
                <w:szCs w:val="22"/>
              </w:rPr>
              <w:t>cashflows</w:t>
            </w:r>
            <w:proofErr w:type="spellEnd"/>
            <w:r w:rsidRPr="00726F56">
              <w:rPr>
                <w:sz w:val="22"/>
                <w:szCs w:val="22"/>
              </w:rPr>
              <w:t xml:space="preserve">) were reported </w:t>
            </w:r>
            <w:r w:rsidR="00AD439A" w:rsidRPr="00726F56">
              <w:rPr>
                <w:sz w:val="22"/>
                <w:szCs w:val="22"/>
              </w:rPr>
              <w:t>at each Corporation meeting.  The Director of Finance confirmed that the 2019/20 Budget and the 2020/21 financial projections would be presented to the Corporation on 16 July 2019 which included some sensitivity analysis.  Governors we</w:t>
            </w:r>
            <w:r w:rsidR="00481677">
              <w:rPr>
                <w:sz w:val="22"/>
                <w:szCs w:val="22"/>
              </w:rPr>
              <w:t>re aware that a combination of two “</w:t>
            </w:r>
            <w:r w:rsidR="00AD439A" w:rsidRPr="00726F56">
              <w:rPr>
                <w:sz w:val="22"/>
                <w:szCs w:val="22"/>
              </w:rPr>
              <w:t>amber” situations could result in a “red” situation and identified Funding, Student Numbers, Pension costs and Pay Awards as key factors for ongoing monitoring.  All agreed these were systemic sectoral problems.</w:t>
            </w:r>
          </w:p>
        </w:tc>
        <w:tc>
          <w:tcPr>
            <w:tcW w:w="1244" w:type="dxa"/>
          </w:tcPr>
          <w:p w:rsidR="00D16033" w:rsidRPr="00726F56" w:rsidRDefault="00D16033" w:rsidP="00726F56">
            <w:pPr>
              <w:pStyle w:val="NoSpacing"/>
              <w:jc w:val="both"/>
              <w:rPr>
                <w:b/>
                <w:sz w:val="22"/>
                <w:szCs w:val="22"/>
              </w:rPr>
            </w:pPr>
          </w:p>
        </w:tc>
      </w:tr>
      <w:tr w:rsidR="00AD439A" w:rsidRPr="00726F56" w:rsidTr="004562FD">
        <w:trPr>
          <w:jc w:val="center"/>
        </w:trPr>
        <w:tc>
          <w:tcPr>
            <w:tcW w:w="767" w:type="dxa"/>
          </w:tcPr>
          <w:p w:rsidR="00AD439A" w:rsidRPr="00726F56" w:rsidRDefault="00AD439A" w:rsidP="00726F56">
            <w:pPr>
              <w:jc w:val="both"/>
              <w:rPr>
                <w:b/>
                <w:sz w:val="22"/>
                <w:szCs w:val="22"/>
              </w:rPr>
            </w:pPr>
          </w:p>
        </w:tc>
        <w:tc>
          <w:tcPr>
            <w:tcW w:w="7027" w:type="dxa"/>
          </w:tcPr>
          <w:p w:rsidR="00AD439A" w:rsidRPr="00726F56" w:rsidRDefault="00AD439A" w:rsidP="00481677">
            <w:pPr>
              <w:pStyle w:val="ListParagraph"/>
              <w:numPr>
                <w:ilvl w:val="0"/>
                <w:numId w:val="35"/>
              </w:numPr>
              <w:jc w:val="both"/>
              <w:rPr>
                <w:sz w:val="22"/>
                <w:szCs w:val="22"/>
              </w:rPr>
            </w:pPr>
            <w:r w:rsidRPr="00726F56">
              <w:rPr>
                <w:sz w:val="22"/>
                <w:szCs w:val="22"/>
              </w:rPr>
              <w:t xml:space="preserve">Members discussed whether Estate Condition might be a useful </w:t>
            </w:r>
            <w:r w:rsidR="00726F56" w:rsidRPr="00726F56">
              <w:rPr>
                <w:sz w:val="22"/>
                <w:szCs w:val="22"/>
              </w:rPr>
              <w:t>presentation</w:t>
            </w:r>
            <w:r w:rsidRPr="00726F56">
              <w:rPr>
                <w:sz w:val="22"/>
                <w:szCs w:val="22"/>
              </w:rPr>
              <w:t xml:space="preserve"> but </w:t>
            </w:r>
            <w:r w:rsidR="00726F56" w:rsidRPr="00726F56">
              <w:rPr>
                <w:sz w:val="22"/>
                <w:szCs w:val="22"/>
              </w:rPr>
              <w:t>agreed</w:t>
            </w:r>
            <w:r w:rsidRPr="00726F56">
              <w:rPr>
                <w:sz w:val="22"/>
                <w:szCs w:val="22"/>
              </w:rPr>
              <w:t xml:space="preserve"> that the condition and utilisation information in the Accommodation Strategy provided appropriate coverage.  </w:t>
            </w:r>
          </w:p>
        </w:tc>
        <w:tc>
          <w:tcPr>
            <w:tcW w:w="1244" w:type="dxa"/>
          </w:tcPr>
          <w:p w:rsidR="00AD439A" w:rsidRPr="00726F56" w:rsidRDefault="00AD439A" w:rsidP="00726F56">
            <w:pPr>
              <w:pStyle w:val="NoSpacing"/>
              <w:jc w:val="both"/>
              <w:rPr>
                <w:b/>
                <w:sz w:val="22"/>
                <w:szCs w:val="22"/>
              </w:rPr>
            </w:pPr>
          </w:p>
        </w:tc>
      </w:tr>
      <w:tr w:rsidR="00AD439A" w:rsidRPr="00726F56" w:rsidTr="004562FD">
        <w:trPr>
          <w:jc w:val="center"/>
        </w:trPr>
        <w:tc>
          <w:tcPr>
            <w:tcW w:w="767" w:type="dxa"/>
          </w:tcPr>
          <w:p w:rsidR="00AD439A" w:rsidRPr="00726F56" w:rsidRDefault="00AD439A" w:rsidP="00726F56">
            <w:pPr>
              <w:jc w:val="both"/>
              <w:rPr>
                <w:b/>
                <w:sz w:val="22"/>
                <w:szCs w:val="22"/>
              </w:rPr>
            </w:pPr>
          </w:p>
        </w:tc>
        <w:tc>
          <w:tcPr>
            <w:tcW w:w="7027" w:type="dxa"/>
          </w:tcPr>
          <w:p w:rsidR="00AD439A" w:rsidRPr="00726F56" w:rsidRDefault="00AD439A" w:rsidP="00726F56">
            <w:pPr>
              <w:autoSpaceDE w:val="0"/>
              <w:autoSpaceDN w:val="0"/>
              <w:adjustRightInd w:val="0"/>
              <w:jc w:val="both"/>
              <w:rPr>
                <w:bCs/>
                <w:sz w:val="22"/>
                <w:szCs w:val="22"/>
              </w:rPr>
            </w:pPr>
          </w:p>
        </w:tc>
        <w:tc>
          <w:tcPr>
            <w:tcW w:w="1244" w:type="dxa"/>
          </w:tcPr>
          <w:p w:rsidR="00AD439A" w:rsidRPr="00726F56" w:rsidRDefault="00AD439A" w:rsidP="00726F56">
            <w:pPr>
              <w:pStyle w:val="NoSpacing"/>
              <w:jc w:val="both"/>
              <w:rPr>
                <w:b/>
                <w:sz w:val="22"/>
                <w:szCs w:val="22"/>
              </w:rPr>
            </w:pPr>
          </w:p>
        </w:tc>
      </w:tr>
      <w:tr w:rsidR="00D16033" w:rsidRPr="00726F56" w:rsidTr="004562FD">
        <w:trPr>
          <w:jc w:val="center"/>
        </w:trPr>
        <w:tc>
          <w:tcPr>
            <w:tcW w:w="767" w:type="dxa"/>
          </w:tcPr>
          <w:p w:rsidR="00D16033" w:rsidRPr="00726F56" w:rsidRDefault="00D16033" w:rsidP="00726F56">
            <w:pPr>
              <w:jc w:val="both"/>
              <w:rPr>
                <w:b/>
                <w:sz w:val="22"/>
                <w:szCs w:val="22"/>
              </w:rPr>
            </w:pPr>
          </w:p>
        </w:tc>
        <w:tc>
          <w:tcPr>
            <w:tcW w:w="7027" w:type="dxa"/>
          </w:tcPr>
          <w:p w:rsidR="00D16033" w:rsidRPr="00726F56" w:rsidRDefault="00D16033" w:rsidP="00726F56">
            <w:pPr>
              <w:autoSpaceDE w:val="0"/>
              <w:autoSpaceDN w:val="0"/>
              <w:adjustRightInd w:val="0"/>
              <w:jc w:val="both"/>
              <w:rPr>
                <w:sz w:val="22"/>
                <w:szCs w:val="22"/>
              </w:rPr>
            </w:pPr>
            <w:r w:rsidRPr="00726F56">
              <w:rPr>
                <w:bCs/>
                <w:sz w:val="22"/>
                <w:szCs w:val="22"/>
              </w:rPr>
              <w:t xml:space="preserve">The Audit Committee </w:t>
            </w:r>
            <w:r w:rsidRPr="00726F56">
              <w:rPr>
                <w:b/>
                <w:bCs/>
                <w:sz w:val="22"/>
                <w:szCs w:val="22"/>
              </w:rPr>
              <w:t>AGREED TO ADVISE</w:t>
            </w:r>
            <w:r w:rsidRPr="00726F56">
              <w:rPr>
                <w:sz w:val="22"/>
                <w:szCs w:val="22"/>
              </w:rPr>
              <w:t xml:space="preserve"> the Corporation</w:t>
            </w:r>
            <w:r w:rsidR="00AD439A" w:rsidRPr="00726F56">
              <w:rPr>
                <w:sz w:val="22"/>
                <w:szCs w:val="22"/>
              </w:rPr>
              <w:t xml:space="preserve"> that Members had </w:t>
            </w:r>
            <w:r w:rsidR="00AD439A" w:rsidRPr="00726F56">
              <w:rPr>
                <w:b/>
                <w:sz w:val="22"/>
                <w:szCs w:val="22"/>
              </w:rPr>
              <w:t>DISCUSSED</w:t>
            </w:r>
            <w:r w:rsidR="00AD439A" w:rsidRPr="00726F56">
              <w:rPr>
                <w:sz w:val="22"/>
                <w:szCs w:val="22"/>
              </w:rPr>
              <w:t xml:space="preserve"> the Further Education Risk Register Analysis - Managing risks effectively, efficiently and proportionally – 2019 analysis Report from RSM and had </w:t>
            </w:r>
            <w:r w:rsidR="00AD439A" w:rsidRPr="00726F56">
              <w:rPr>
                <w:b/>
                <w:sz w:val="22"/>
                <w:szCs w:val="22"/>
              </w:rPr>
              <w:t>AGREED</w:t>
            </w:r>
            <w:r w:rsidR="00AD439A" w:rsidRPr="00726F56">
              <w:rPr>
                <w:sz w:val="22"/>
                <w:szCs w:val="22"/>
              </w:rPr>
              <w:t xml:space="preserve"> appropriate action in response.</w:t>
            </w:r>
          </w:p>
        </w:tc>
        <w:tc>
          <w:tcPr>
            <w:tcW w:w="1244" w:type="dxa"/>
          </w:tcPr>
          <w:p w:rsidR="00D16033" w:rsidRPr="00726F56" w:rsidRDefault="00765F3D" w:rsidP="00726F56">
            <w:pPr>
              <w:pStyle w:val="NoSpacing"/>
              <w:jc w:val="both"/>
              <w:rPr>
                <w:b/>
                <w:sz w:val="22"/>
                <w:szCs w:val="22"/>
              </w:rPr>
            </w:pPr>
            <w:r w:rsidRPr="00726F56">
              <w:rPr>
                <w:b/>
                <w:sz w:val="22"/>
                <w:szCs w:val="22"/>
              </w:rPr>
              <w:t>CC</w:t>
            </w:r>
          </w:p>
        </w:tc>
      </w:tr>
      <w:tr w:rsidR="00D16033" w:rsidRPr="00726F56" w:rsidTr="004562FD">
        <w:trPr>
          <w:jc w:val="center"/>
        </w:trPr>
        <w:tc>
          <w:tcPr>
            <w:tcW w:w="767" w:type="dxa"/>
          </w:tcPr>
          <w:p w:rsidR="00D16033" w:rsidRPr="00726F56" w:rsidRDefault="00D16033" w:rsidP="00726F56">
            <w:pPr>
              <w:jc w:val="both"/>
              <w:rPr>
                <w:b/>
                <w:sz w:val="22"/>
                <w:szCs w:val="22"/>
              </w:rPr>
            </w:pPr>
          </w:p>
        </w:tc>
        <w:tc>
          <w:tcPr>
            <w:tcW w:w="7027" w:type="dxa"/>
          </w:tcPr>
          <w:p w:rsidR="00D16033" w:rsidRPr="00726F56" w:rsidRDefault="00D16033" w:rsidP="00726F56">
            <w:pPr>
              <w:autoSpaceDE w:val="0"/>
              <w:autoSpaceDN w:val="0"/>
              <w:adjustRightInd w:val="0"/>
              <w:jc w:val="both"/>
              <w:rPr>
                <w:bCs/>
                <w:sz w:val="22"/>
                <w:szCs w:val="22"/>
              </w:rPr>
            </w:pPr>
          </w:p>
        </w:tc>
        <w:tc>
          <w:tcPr>
            <w:tcW w:w="1244" w:type="dxa"/>
          </w:tcPr>
          <w:p w:rsidR="00D16033" w:rsidRPr="00726F56" w:rsidRDefault="00D16033" w:rsidP="00726F56">
            <w:pPr>
              <w:pStyle w:val="NoSpacing"/>
              <w:jc w:val="both"/>
              <w:rPr>
                <w:b/>
                <w:sz w:val="22"/>
                <w:szCs w:val="22"/>
              </w:rPr>
            </w:pPr>
          </w:p>
        </w:tc>
      </w:tr>
      <w:tr w:rsidR="00C17F37" w:rsidRPr="00726F56" w:rsidTr="004562FD">
        <w:trPr>
          <w:jc w:val="center"/>
        </w:trPr>
        <w:tc>
          <w:tcPr>
            <w:tcW w:w="767" w:type="dxa"/>
          </w:tcPr>
          <w:p w:rsidR="00C17F37" w:rsidRPr="00726F56" w:rsidRDefault="002D5449" w:rsidP="00726F56">
            <w:pPr>
              <w:jc w:val="both"/>
              <w:rPr>
                <w:b/>
                <w:sz w:val="22"/>
                <w:szCs w:val="22"/>
              </w:rPr>
            </w:pPr>
            <w:r w:rsidRPr="00726F56">
              <w:rPr>
                <w:sz w:val="22"/>
                <w:szCs w:val="22"/>
                <w:lang w:eastAsia="en-US"/>
              </w:rPr>
              <w:br w:type="page"/>
            </w:r>
            <w:r w:rsidR="00D96C99" w:rsidRPr="00726F56">
              <w:rPr>
                <w:b/>
                <w:sz w:val="22"/>
                <w:szCs w:val="22"/>
              </w:rPr>
              <w:t>17</w:t>
            </w:r>
            <w:r w:rsidR="00501595" w:rsidRPr="00726F56">
              <w:rPr>
                <w:b/>
                <w:sz w:val="22"/>
                <w:szCs w:val="22"/>
              </w:rPr>
              <w:t>.9</w:t>
            </w:r>
          </w:p>
        </w:tc>
        <w:tc>
          <w:tcPr>
            <w:tcW w:w="7027" w:type="dxa"/>
          </w:tcPr>
          <w:p w:rsidR="00C17F37" w:rsidRPr="00726F56" w:rsidRDefault="00C17F37" w:rsidP="00726F56">
            <w:pPr>
              <w:jc w:val="both"/>
              <w:rPr>
                <w:b/>
                <w:sz w:val="22"/>
                <w:szCs w:val="22"/>
              </w:rPr>
            </w:pPr>
            <w:r w:rsidRPr="00726F56">
              <w:rPr>
                <w:b/>
                <w:sz w:val="22"/>
                <w:szCs w:val="22"/>
              </w:rPr>
              <w:t>Subcontracting</w:t>
            </w:r>
          </w:p>
        </w:tc>
        <w:tc>
          <w:tcPr>
            <w:tcW w:w="1244" w:type="dxa"/>
          </w:tcPr>
          <w:p w:rsidR="00C17F37" w:rsidRPr="00726F56" w:rsidRDefault="00C17F37" w:rsidP="00726F56">
            <w:pPr>
              <w:pStyle w:val="NoSpacing"/>
              <w:jc w:val="both"/>
              <w:rPr>
                <w:b/>
                <w:sz w:val="22"/>
                <w:szCs w:val="22"/>
              </w:rPr>
            </w:pPr>
          </w:p>
        </w:tc>
      </w:tr>
      <w:tr w:rsidR="00C17F37" w:rsidRPr="00726F56" w:rsidTr="004562FD">
        <w:trPr>
          <w:jc w:val="center"/>
        </w:trPr>
        <w:tc>
          <w:tcPr>
            <w:tcW w:w="767" w:type="dxa"/>
          </w:tcPr>
          <w:p w:rsidR="00C17F37" w:rsidRPr="00726F56" w:rsidRDefault="00C17F37" w:rsidP="00726F56">
            <w:pPr>
              <w:jc w:val="both"/>
              <w:rPr>
                <w:b/>
                <w:sz w:val="22"/>
                <w:szCs w:val="22"/>
              </w:rPr>
            </w:pPr>
            <w:proofErr w:type="spellStart"/>
            <w:r w:rsidRPr="00726F56">
              <w:rPr>
                <w:b/>
                <w:sz w:val="22"/>
                <w:szCs w:val="22"/>
              </w:rPr>
              <w:t>i</w:t>
            </w:r>
            <w:proofErr w:type="spellEnd"/>
            <w:r w:rsidRPr="00726F56">
              <w:rPr>
                <w:b/>
                <w:sz w:val="22"/>
                <w:szCs w:val="22"/>
              </w:rPr>
              <w:t>)</w:t>
            </w:r>
          </w:p>
        </w:tc>
        <w:tc>
          <w:tcPr>
            <w:tcW w:w="7027" w:type="dxa"/>
          </w:tcPr>
          <w:p w:rsidR="00C17F37" w:rsidRPr="00726F56" w:rsidRDefault="00C17F37" w:rsidP="00726F56">
            <w:pPr>
              <w:jc w:val="both"/>
              <w:rPr>
                <w:b/>
                <w:sz w:val="22"/>
                <w:szCs w:val="22"/>
                <w:highlight w:val="yellow"/>
              </w:rPr>
            </w:pPr>
            <w:r w:rsidRPr="00726F56">
              <w:rPr>
                <w:b/>
                <w:sz w:val="22"/>
                <w:szCs w:val="22"/>
              </w:rPr>
              <w:t>Partner Audit &amp; Assurance Visits</w:t>
            </w:r>
          </w:p>
        </w:tc>
        <w:tc>
          <w:tcPr>
            <w:tcW w:w="1244" w:type="dxa"/>
          </w:tcPr>
          <w:p w:rsidR="00C17F37" w:rsidRPr="00726F56" w:rsidRDefault="00C17F37" w:rsidP="00726F56">
            <w:pPr>
              <w:pStyle w:val="NoSpacing"/>
              <w:jc w:val="both"/>
              <w:rPr>
                <w:b/>
                <w:sz w:val="22"/>
                <w:szCs w:val="22"/>
              </w:rPr>
            </w:pPr>
          </w:p>
        </w:tc>
      </w:tr>
      <w:tr w:rsidR="00C17F37" w:rsidRPr="00726F56" w:rsidTr="004562FD">
        <w:trPr>
          <w:jc w:val="center"/>
        </w:trPr>
        <w:tc>
          <w:tcPr>
            <w:tcW w:w="767" w:type="dxa"/>
          </w:tcPr>
          <w:p w:rsidR="00C17F37" w:rsidRPr="00726F56" w:rsidRDefault="00C17F37" w:rsidP="00726F56">
            <w:pPr>
              <w:jc w:val="both"/>
              <w:rPr>
                <w:b/>
                <w:sz w:val="22"/>
                <w:szCs w:val="22"/>
              </w:rPr>
            </w:pPr>
          </w:p>
        </w:tc>
        <w:tc>
          <w:tcPr>
            <w:tcW w:w="7027" w:type="dxa"/>
          </w:tcPr>
          <w:p w:rsidR="00C17F37" w:rsidRPr="00726F56" w:rsidRDefault="001C3577" w:rsidP="007D3076">
            <w:pPr>
              <w:jc w:val="both"/>
              <w:rPr>
                <w:sz w:val="22"/>
                <w:szCs w:val="22"/>
                <w:highlight w:val="yellow"/>
              </w:rPr>
            </w:pPr>
            <w:r w:rsidRPr="00726F56">
              <w:rPr>
                <w:sz w:val="22"/>
                <w:szCs w:val="22"/>
              </w:rPr>
              <w:t xml:space="preserve">The </w:t>
            </w:r>
            <w:r w:rsidR="00996D9D" w:rsidRPr="00726F56">
              <w:rPr>
                <w:bCs/>
                <w:sz w:val="22"/>
                <w:szCs w:val="22"/>
              </w:rPr>
              <w:t xml:space="preserve">Assurance and Compliance Manager </w:t>
            </w:r>
            <w:r w:rsidRPr="00726F56">
              <w:rPr>
                <w:sz w:val="22"/>
                <w:szCs w:val="22"/>
              </w:rPr>
              <w:t xml:space="preserve">reported </w:t>
            </w:r>
            <w:r w:rsidR="00501595" w:rsidRPr="00726F56">
              <w:rPr>
                <w:sz w:val="22"/>
                <w:szCs w:val="22"/>
              </w:rPr>
              <w:t xml:space="preserve">on </w:t>
            </w:r>
            <w:r w:rsidR="00996D9D" w:rsidRPr="00726F56">
              <w:rPr>
                <w:sz w:val="22"/>
                <w:szCs w:val="22"/>
              </w:rPr>
              <w:t xml:space="preserve">audit and compliance activity carried out during the year on subcontractors, resulting in no areas of major concern and minor </w:t>
            </w:r>
            <w:r w:rsidR="00726F56" w:rsidRPr="00726F56">
              <w:rPr>
                <w:sz w:val="22"/>
                <w:szCs w:val="22"/>
              </w:rPr>
              <w:t>compliance</w:t>
            </w:r>
            <w:r w:rsidR="00996D9D" w:rsidRPr="00726F56">
              <w:rPr>
                <w:sz w:val="22"/>
                <w:szCs w:val="22"/>
              </w:rPr>
              <w:t xml:space="preserve"> issues that were being monitored.  E</w:t>
            </w:r>
            <w:r w:rsidR="00501595" w:rsidRPr="00726F56">
              <w:rPr>
                <w:sz w:val="22"/>
                <w:szCs w:val="22"/>
              </w:rPr>
              <w:t xml:space="preserve">xternal assurance </w:t>
            </w:r>
            <w:r w:rsidR="00996D9D" w:rsidRPr="00726F56">
              <w:rPr>
                <w:sz w:val="22"/>
                <w:szCs w:val="22"/>
              </w:rPr>
              <w:t xml:space="preserve">included an Education and Skills Funding Agency desktop review of European Social Fund match funded activity (Members noted the uncertainty Brexit </w:t>
            </w:r>
            <w:r w:rsidR="007D3076" w:rsidRPr="00726F56">
              <w:rPr>
                <w:sz w:val="22"/>
                <w:szCs w:val="22"/>
              </w:rPr>
              <w:t xml:space="preserve">caused </w:t>
            </w:r>
            <w:r w:rsidR="00996D9D" w:rsidRPr="00726F56">
              <w:rPr>
                <w:sz w:val="22"/>
                <w:szCs w:val="22"/>
              </w:rPr>
              <w:t>to this fu</w:t>
            </w:r>
            <w:r w:rsidR="00726F56">
              <w:rPr>
                <w:sz w:val="22"/>
                <w:szCs w:val="22"/>
              </w:rPr>
              <w:t>nding) and RSM’s Internal Audit.</w:t>
            </w:r>
            <w:r w:rsidR="00996D9D" w:rsidRPr="00726F56">
              <w:rPr>
                <w:sz w:val="22"/>
                <w:szCs w:val="22"/>
              </w:rPr>
              <w:t xml:space="preserve"> </w:t>
            </w:r>
            <w:r w:rsidR="00726F56" w:rsidRPr="00726F56">
              <w:rPr>
                <w:sz w:val="22"/>
                <w:szCs w:val="22"/>
              </w:rPr>
              <w:t>Compliance</w:t>
            </w:r>
            <w:r w:rsidR="00996D9D" w:rsidRPr="00726F56">
              <w:rPr>
                <w:sz w:val="22"/>
                <w:szCs w:val="22"/>
              </w:rPr>
              <w:t xml:space="preserve"> audits had been carried out at 14 of the 19 </w:t>
            </w:r>
            <w:r w:rsidR="00726F56" w:rsidRPr="00726F56">
              <w:rPr>
                <w:sz w:val="22"/>
                <w:szCs w:val="22"/>
              </w:rPr>
              <w:t>partners</w:t>
            </w:r>
            <w:r w:rsidR="00996D9D" w:rsidRPr="00726F56">
              <w:rPr>
                <w:sz w:val="22"/>
                <w:szCs w:val="22"/>
              </w:rPr>
              <w:t xml:space="preserve"> with 11 being satisfactory and 3 ongoing.  In addition Quality </w:t>
            </w:r>
            <w:r w:rsidR="00726F56" w:rsidRPr="00726F56">
              <w:rPr>
                <w:sz w:val="22"/>
                <w:szCs w:val="22"/>
              </w:rPr>
              <w:t>visits</w:t>
            </w:r>
            <w:r w:rsidR="00996D9D" w:rsidRPr="00726F56">
              <w:rPr>
                <w:sz w:val="22"/>
                <w:szCs w:val="22"/>
              </w:rPr>
              <w:t xml:space="preserve"> had been made to 18 partners with recommendations and monitoring, quarterly reviews took place of all partners including in learning checks and there were learner a</w:t>
            </w:r>
            <w:r w:rsidR="00726F56">
              <w:rPr>
                <w:sz w:val="22"/>
                <w:szCs w:val="22"/>
              </w:rPr>
              <w:t>nd employer</w:t>
            </w:r>
            <w:r w:rsidR="00996D9D" w:rsidRPr="00726F56">
              <w:rPr>
                <w:sz w:val="22"/>
                <w:szCs w:val="22"/>
              </w:rPr>
              <w:t xml:space="preserve"> surveys and learning walks. </w:t>
            </w:r>
          </w:p>
        </w:tc>
        <w:tc>
          <w:tcPr>
            <w:tcW w:w="1244" w:type="dxa"/>
          </w:tcPr>
          <w:p w:rsidR="00C17F37" w:rsidRPr="00726F56" w:rsidRDefault="00C17F37" w:rsidP="00726F56">
            <w:pPr>
              <w:pStyle w:val="NoSpacing"/>
              <w:jc w:val="both"/>
              <w:rPr>
                <w:b/>
                <w:sz w:val="22"/>
                <w:szCs w:val="22"/>
              </w:rPr>
            </w:pPr>
          </w:p>
        </w:tc>
      </w:tr>
      <w:tr w:rsidR="00C17F37" w:rsidRPr="00726F56" w:rsidTr="004562FD">
        <w:trPr>
          <w:jc w:val="center"/>
        </w:trPr>
        <w:tc>
          <w:tcPr>
            <w:tcW w:w="767" w:type="dxa"/>
          </w:tcPr>
          <w:p w:rsidR="00C17F37" w:rsidRPr="00726F56" w:rsidRDefault="00C17F37" w:rsidP="00726F56">
            <w:pPr>
              <w:jc w:val="both"/>
              <w:rPr>
                <w:b/>
                <w:sz w:val="22"/>
                <w:szCs w:val="22"/>
              </w:rPr>
            </w:pPr>
          </w:p>
        </w:tc>
        <w:tc>
          <w:tcPr>
            <w:tcW w:w="7027" w:type="dxa"/>
          </w:tcPr>
          <w:p w:rsidR="00C17F37" w:rsidRPr="00726F56" w:rsidRDefault="00C17F37" w:rsidP="00726F56">
            <w:pPr>
              <w:pStyle w:val="Bullets3"/>
              <w:jc w:val="both"/>
              <w:rPr>
                <w:rFonts w:cs="Arial"/>
                <w:sz w:val="22"/>
                <w:szCs w:val="22"/>
                <w:lang w:eastAsia="en-GB"/>
              </w:rPr>
            </w:pPr>
          </w:p>
        </w:tc>
        <w:tc>
          <w:tcPr>
            <w:tcW w:w="1244" w:type="dxa"/>
          </w:tcPr>
          <w:p w:rsidR="00C17F37" w:rsidRPr="00726F56" w:rsidRDefault="00C17F37" w:rsidP="00726F56">
            <w:pPr>
              <w:pStyle w:val="NoSpacing"/>
              <w:jc w:val="both"/>
              <w:rPr>
                <w:b/>
                <w:sz w:val="22"/>
                <w:szCs w:val="22"/>
              </w:rPr>
            </w:pPr>
          </w:p>
        </w:tc>
      </w:tr>
      <w:tr w:rsidR="00501595" w:rsidRPr="00726F56" w:rsidTr="004562FD">
        <w:trPr>
          <w:jc w:val="center"/>
        </w:trPr>
        <w:tc>
          <w:tcPr>
            <w:tcW w:w="767" w:type="dxa"/>
          </w:tcPr>
          <w:p w:rsidR="00501595" w:rsidRPr="00726F56" w:rsidRDefault="008C288C" w:rsidP="00726F56">
            <w:pPr>
              <w:jc w:val="both"/>
              <w:rPr>
                <w:b/>
                <w:sz w:val="22"/>
                <w:szCs w:val="22"/>
              </w:rPr>
            </w:pPr>
            <w:r w:rsidRPr="00726F56">
              <w:rPr>
                <w:b/>
                <w:sz w:val="22"/>
                <w:szCs w:val="22"/>
              </w:rPr>
              <w:t>ii)</w:t>
            </w:r>
          </w:p>
        </w:tc>
        <w:tc>
          <w:tcPr>
            <w:tcW w:w="7027" w:type="dxa"/>
          </w:tcPr>
          <w:p w:rsidR="008C288C" w:rsidRPr="00726F56" w:rsidRDefault="00996D9D" w:rsidP="00726F56">
            <w:pPr>
              <w:jc w:val="both"/>
              <w:rPr>
                <w:sz w:val="22"/>
                <w:szCs w:val="22"/>
              </w:rPr>
            </w:pPr>
            <w:r w:rsidRPr="00726F56">
              <w:rPr>
                <w:sz w:val="22"/>
                <w:szCs w:val="22"/>
              </w:rPr>
              <w:t xml:space="preserve">In answer to Governor questions, the </w:t>
            </w:r>
            <w:r w:rsidRPr="00726F56">
              <w:rPr>
                <w:bCs/>
                <w:sz w:val="22"/>
                <w:szCs w:val="22"/>
              </w:rPr>
              <w:t>Assurance and Compliance Manager confirmed that student views were captured through Learner Voice surveys which were sent to all Apprentices and learners.  The Director, Funding, Data and External Contracts</w:t>
            </w:r>
            <w:r w:rsidR="008C288C" w:rsidRPr="00726F56">
              <w:rPr>
                <w:bCs/>
                <w:sz w:val="22"/>
                <w:szCs w:val="22"/>
              </w:rPr>
              <w:t xml:space="preserve"> c</w:t>
            </w:r>
            <w:r w:rsidRPr="00726F56">
              <w:rPr>
                <w:bCs/>
                <w:sz w:val="22"/>
                <w:szCs w:val="22"/>
              </w:rPr>
              <w:t>onfirmed that the volume was broadly as expected</w:t>
            </w:r>
            <w:r w:rsidR="008C288C" w:rsidRPr="00726F56">
              <w:rPr>
                <w:bCs/>
                <w:sz w:val="22"/>
                <w:szCs w:val="22"/>
              </w:rPr>
              <w:t xml:space="preserve"> with </w:t>
            </w:r>
            <w:r w:rsidR="00726F56" w:rsidRPr="00726F56">
              <w:rPr>
                <w:bCs/>
                <w:sz w:val="22"/>
                <w:szCs w:val="22"/>
              </w:rPr>
              <w:t>regular</w:t>
            </w:r>
            <w:r w:rsidR="008C288C" w:rsidRPr="00726F56">
              <w:rPr>
                <w:bCs/>
                <w:sz w:val="22"/>
                <w:szCs w:val="22"/>
              </w:rPr>
              <w:t xml:space="preserve"> reviews ensuring partners continued to meet College values and quality </w:t>
            </w:r>
            <w:r w:rsidR="00726F56" w:rsidRPr="00726F56">
              <w:rPr>
                <w:bCs/>
                <w:sz w:val="22"/>
                <w:szCs w:val="22"/>
              </w:rPr>
              <w:t>standards</w:t>
            </w:r>
            <w:r w:rsidR="008C288C" w:rsidRPr="00726F56">
              <w:rPr>
                <w:bCs/>
                <w:sz w:val="22"/>
                <w:szCs w:val="22"/>
              </w:rPr>
              <w:t xml:space="preserve">.  </w:t>
            </w:r>
            <w:r w:rsidRPr="00726F56">
              <w:rPr>
                <w:bCs/>
                <w:sz w:val="22"/>
                <w:szCs w:val="22"/>
              </w:rPr>
              <w:t xml:space="preserve"> </w:t>
            </w:r>
            <w:r w:rsidR="00726F56" w:rsidRPr="00726F56">
              <w:rPr>
                <w:bCs/>
                <w:sz w:val="22"/>
                <w:szCs w:val="22"/>
              </w:rPr>
              <w:t>Governors</w:t>
            </w:r>
            <w:r w:rsidR="008C288C" w:rsidRPr="00726F56">
              <w:rPr>
                <w:bCs/>
                <w:sz w:val="22"/>
                <w:szCs w:val="22"/>
              </w:rPr>
              <w:t xml:space="preserve"> asked how the requirements of Ofsted’s new framework would be addressed, noting that </w:t>
            </w:r>
            <w:r w:rsidR="00726F56" w:rsidRPr="00726F56">
              <w:rPr>
                <w:bCs/>
                <w:sz w:val="22"/>
                <w:szCs w:val="22"/>
              </w:rPr>
              <w:t>some learners</w:t>
            </w:r>
            <w:r w:rsidR="008C288C" w:rsidRPr="00726F56">
              <w:rPr>
                <w:bCs/>
                <w:sz w:val="22"/>
                <w:szCs w:val="22"/>
              </w:rPr>
              <w:t xml:space="preserve"> were apparently unaware that they were on a programme in RSM’s Risk Report.  The Director, Funding, Data and External Contracts felt this might be a </w:t>
            </w:r>
            <w:r w:rsidR="00726F56" w:rsidRPr="00726F56">
              <w:rPr>
                <w:bCs/>
                <w:sz w:val="22"/>
                <w:szCs w:val="22"/>
              </w:rPr>
              <w:t>terminology</w:t>
            </w:r>
            <w:r w:rsidR="008C288C" w:rsidRPr="00726F56">
              <w:rPr>
                <w:bCs/>
                <w:sz w:val="22"/>
                <w:szCs w:val="22"/>
              </w:rPr>
              <w:t xml:space="preserve"> issue with Apprentices more readily identifying that they had a job and were on a course than enrolled in a learning programme.</w:t>
            </w:r>
          </w:p>
        </w:tc>
        <w:tc>
          <w:tcPr>
            <w:tcW w:w="1244" w:type="dxa"/>
          </w:tcPr>
          <w:p w:rsidR="00501595" w:rsidRPr="00726F56" w:rsidRDefault="00501595" w:rsidP="00726F56">
            <w:pPr>
              <w:pStyle w:val="NoSpacing"/>
              <w:jc w:val="both"/>
              <w:rPr>
                <w:b/>
                <w:sz w:val="22"/>
                <w:szCs w:val="22"/>
              </w:rPr>
            </w:pPr>
          </w:p>
        </w:tc>
      </w:tr>
      <w:tr w:rsidR="008C288C" w:rsidRPr="00726F56" w:rsidTr="004562FD">
        <w:trPr>
          <w:jc w:val="center"/>
        </w:trPr>
        <w:tc>
          <w:tcPr>
            <w:tcW w:w="767" w:type="dxa"/>
          </w:tcPr>
          <w:p w:rsidR="008C288C" w:rsidRPr="00726F56" w:rsidRDefault="008C288C" w:rsidP="00726F56">
            <w:pPr>
              <w:jc w:val="both"/>
              <w:rPr>
                <w:b/>
                <w:sz w:val="22"/>
                <w:szCs w:val="22"/>
              </w:rPr>
            </w:pPr>
          </w:p>
        </w:tc>
        <w:tc>
          <w:tcPr>
            <w:tcW w:w="7027" w:type="dxa"/>
          </w:tcPr>
          <w:p w:rsidR="008C288C" w:rsidRPr="00726F56" w:rsidRDefault="008C288C" w:rsidP="00726F56">
            <w:pPr>
              <w:jc w:val="both"/>
              <w:rPr>
                <w:sz w:val="22"/>
                <w:szCs w:val="22"/>
              </w:rPr>
            </w:pPr>
          </w:p>
        </w:tc>
        <w:tc>
          <w:tcPr>
            <w:tcW w:w="1244" w:type="dxa"/>
          </w:tcPr>
          <w:p w:rsidR="008C288C" w:rsidRPr="00726F56" w:rsidRDefault="008C288C" w:rsidP="00726F56">
            <w:pPr>
              <w:pStyle w:val="NoSpacing"/>
              <w:jc w:val="both"/>
              <w:rPr>
                <w:b/>
                <w:sz w:val="22"/>
                <w:szCs w:val="22"/>
              </w:rPr>
            </w:pPr>
          </w:p>
        </w:tc>
      </w:tr>
      <w:tr w:rsidR="00C17F37" w:rsidRPr="00726F56" w:rsidTr="004562FD">
        <w:trPr>
          <w:jc w:val="center"/>
        </w:trPr>
        <w:tc>
          <w:tcPr>
            <w:tcW w:w="767" w:type="dxa"/>
          </w:tcPr>
          <w:p w:rsidR="00C17F37" w:rsidRPr="00726F56" w:rsidRDefault="00AB4330" w:rsidP="00726F56">
            <w:pPr>
              <w:jc w:val="both"/>
              <w:rPr>
                <w:b/>
                <w:sz w:val="22"/>
                <w:szCs w:val="22"/>
              </w:rPr>
            </w:pPr>
            <w:r>
              <w:rPr>
                <w:b/>
                <w:sz w:val="22"/>
                <w:szCs w:val="22"/>
              </w:rPr>
              <w:t>iii)</w:t>
            </w:r>
          </w:p>
        </w:tc>
        <w:tc>
          <w:tcPr>
            <w:tcW w:w="7027" w:type="dxa"/>
          </w:tcPr>
          <w:p w:rsidR="00C17F37" w:rsidRPr="00726F56" w:rsidRDefault="00C17F37" w:rsidP="00726F56">
            <w:pPr>
              <w:pStyle w:val="Bullets3"/>
              <w:jc w:val="both"/>
              <w:rPr>
                <w:rFonts w:cs="Arial"/>
                <w:b/>
                <w:sz w:val="22"/>
                <w:szCs w:val="22"/>
              </w:rPr>
            </w:pPr>
            <w:r w:rsidRPr="00726F56">
              <w:rPr>
                <w:rFonts w:cs="Arial"/>
                <w:sz w:val="22"/>
                <w:szCs w:val="22"/>
                <w:lang w:eastAsia="en-GB"/>
              </w:rPr>
              <w:t xml:space="preserve">The </w:t>
            </w:r>
            <w:r w:rsidRPr="00726F56">
              <w:rPr>
                <w:rFonts w:cs="Arial"/>
                <w:bCs/>
                <w:sz w:val="22"/>
                <w:szCs w:val="22"/>
              </w:rPr>
              <w:t xml:space="preserve">Audit Committee </w:t>
            </w:r>
            <w:r w:rsidR="00096959" w:rsidRPr="00726F56">
              <w:rPr>
                <w:rFonts w:cs="Arial"/>
                <w:b/>
                <w:sz w:val="22"/>
                <w:szCs w:val="22"/>
                <w:lang w:eastAsia="en-GB"/>
              </w:rPr>
              <w:t>CON</w:t>
            </w:r>
            <w:r w:rsidRPr="00726F56">
              <w:rPr>
                <w:rFonts w:cs="Arial"/>
                <w:b/>
                <w:sz w:val="22"/>
                <w:szCs w:val="22"/>
                <w:lang w:eastAsia="en-GB"/>
              </w:rPr>
              <w:t xml:space="preserve">SIDERED </w:t>
            </w:r>
            <w:r w:rsidR="00D16033" w:rsidRPr="00726F56">
              <w:rPr>
                <w:rFonts w:cs="Arial"/>
                <w:sz w:val="22"/>
                <w:szCs w:val="22"/>
                <w:lang w:eastAsia="en-GB"/>
              </w:rPr>
              <w:t>the overview of audit and assurance activity conducted with external partners contracted through the College’s Three Counties Consortium.</w:t>
            </w:r>
          </w:p>
        </w:tc>
        <w:tc>
          <w:tcPr>
            <w:tcW w:w="1244" w:type="dxa"/>
          </w:tcPr>
          <w:p w:rsidR="00C17F37" w:rsidRPr="00726F56" w:rsidRDefault="00C17F37" w:rsidP="00726F56">
            <w:pPr>
              <w:pStyle w:val="NoSpacing"/>
              <w:jc w:val="both"/>
              <w:rPr>
                <w:b/>
                <w:sz w:val="22"/>
                <w:szCs w:val="22"/>
              </w:rPr>
            </w:pPr>
          </w:p>
        </w:tc>
      </w:tr>
      <w:tr w:rsidR="00C17F37" w:rsidRPr="00726F56" w:rsidTr="004562FD">
        <w:trPr>
          <w:jc w:val="center"/>
        </w:trPr>
        <w:tc>
          <w:tcPr>
            <w:tcW w:w="767" w:type="dxa"/>
          </w:tcPr>
          <w:p w:rsidR="00C17F37" w:rsidRPr="00726F56" w:rsidRDefault="00C17F37" w:rsidP="00726F56">
            <w:pPr>
              <w:jc w:val="both"/>
              <w:rPr>
                <w:b/>
                <w:sz w:val="22"/>
                <w:szCs w:val="22"/>
              </w:rPr>
            </w:pPr>
          </w:p>
        </w:tc>
        <w:tc>
          <w:tcPr>
            <w:tcW w:w="7027" w:type="dxa"/>
          </w:tcPr>
          <w:p w:rsidR="00C17F37" w:rsidRPr="00726F56" w:rsidRDefault="00C17F37" w:rsidP="00726F56">
            <w:pPr>
              <w:jc w:val="both"/>
              <w:rPr>
                <w:b/>
                <w:sz w:val="22"/>
                <w:szCs w:val="22"/>
              </w:rPr>
            </w:pPr>
          </w:p>
        </w:tc>
        <w:tc>
          <w:tcPr>
            <w:tcW w:w="1244" w:type="dxa"/>
          </w:tcPr>
          <w:p w:rsidR="00C17F37" w:rsidRPr="00726F56" w:rsidRDefault="00C17F37" w:rsidP="00726F56">
            <w:pPr>
              <w:pStyle w:val="NoSpacing"/>
              <w:jc w:val="both"/>
              <w:rPr>
                <w:b/>
                <w:sz w:val="22"/>
                <w:szCs w:val="22"/>
              </w:rPr>
            </w:pPr>
          </w:p>
        </w:tc>
      </w:tr>
      <w:tr w:rsidR="00471B5A" w:rsidRPr="00726F56" w:rsidTr="004562FD">
        <w:trPr>
          <w:jc w:val="center"/>
        </w:trPr>
        <w:tc>
          <w:tcPr>
            <w:tcW w:w="767" w:type="dxa"/>
          </w:tcPr>
          <w:p w:rsidR="00471B5A" w:rsidRPr="00726F56" w:rsidRDefault="00D96C99" w:rsidP="00726F56">
            <w:pPr>
              <w:jc w:val="both"/>
              <w:rPr>
                <w:b/>
                <w:sz w:val="22"/>
                <w:szCs w:val="22"/>
              </w:rPr>
            </w:pPr>
            <w:r w:rsidRPr="00726F56">
              <w:rPr>
                <w:b/>
                <w:sz w:val="22"/>
                <w:szCs w:val="22"/>
              </w:rPr>
              <w:t>17</w:t>
            </w:r>
            <w:r w:rsidR="00471B5A" w:rsidRPr="00726F56">
              <w:rPr>
                <w:b/>
                <w:sz w:val="22"/>
                <w:szCs w:val="22"/>
              </w:rPr>
              <w:t>.1</w:t>
            </w:r>
            <w:r w:rsidR="00501595" w:rsidRPr="00726F56">
              <w:rPr>
                <w:b/>
                <w:sz w:val="22"/>
                <w:szCs w:val="22"/>
              </w:rPr>
              <w:t>0</w:t>
            </w:r>
          </w:p>
        </w:tc>
        <w:tc>
          <w:tcPr>
            <w:tcW w:w="7027" w:type="dxa"/>
          </w:tcPr>
          <w:p w:rsidR="00471B5A" w:rsidRPr="00726F56" w:rsidRDefault="00471B5A" w:rsidP="00726F56">
            <w:pPr>
              <w:pStyle w:val="Heading1"/>
              <w:jc w:val="both"/>
              <w:outlineLvl w:val="0"/>
              <w:rPr>
                <w:rFonts w:ascii="Arial" w:hAnsi="Arial" w:cs="Arial"/>
                <w:sz w:val="22"/>
                <w:szCs w:val="22"/>
              </w:rPr>
            </w:pPr>
            <w:r w:rsidRPr="00726F56">
              <w:rPr>
                <w:rFonts w:ascii="Arial" w:hAnsi="Arial" w:cs="Arial"/>
                <w:sz w:val="22"/>
                <w:szCs w:val="22"/>
              </w:rPr>
              <w:t>Internal Audit Reports</w:t>
            </w:r>
          </w:p>
        </w:tc>
        <w:tc>
          <w:tcPr>
            <w:tcW w:w="1244" w:type="dxa"/>
          </w:tcPr>
          <w:p w:rsidR="00471B5A" w:rsidRPr="00726F56" w:rsidRDefault="00471B5A" w:rsidP="00726F56">
            <w:pPr>
              <w:jc w:val="both"/>
              <w:rPr>
                <w:b/>
                <w:sz w:val="22"/>
                <w:szCs w:val="22"/>
              </w:rPr>
            </w:pPr>
          </w:p>
        </w:tc>
      </w:tr>
      <w:tr w:rsidR="00471B5A" w:rsidRPr="00726F56" w:rsidTr="004562FD">
        <w:trPr>
          <w:jc w:val="center"/>
        </w:trPr>
        <w:tc>
          <w:tcPr>
            <w:tcW w:w="767" w:type="dxa"/>
          </w:tcPr>
          <w:p w:rsidR="00471B5A" w:rsidRPr="00726F56" w:rsidRDefault="00471B5A" w:rsidP="00726F56">
            <w:pPr>
              <w:jc w:val="both"/>
              <w:rPr>
                <w:b/>
                <w:sz w:val="22"/>
                <w:szCs w:val="22"/>
              </w:rPr>
            </w:pPr>
            <w:proofErr w:type="spellStart"/>
            <w:r w:rsidRPr="00726F56">
              <w:rPr>
                <w:b/>
                <w:sz w:val="22"/>
                <w:szCs w:val="22"/>
              </w:rPr>
              <w:t>i</w:t>
            </w:r>
            <w:proofErr w:type="spellEnd"/>
            <w:r w:rsidRPr="00726F56">
              <w:rPr>
                <w:b/>
                <w:sz w:val="22"/>
                <w:szCs w:val="22"/>
              </w:rPr>
              <w:t>)</w:t>
            </w:r>
          </w:p>
        </w:tc>
        <w:tc>
          <w:tcPr>
            <w:tcW w:w="7027" w:type="dxa"/>
          </w:tcPr>
          <w:p w:rsidR="00471B5A" w:rsidRPr="00726F56" w:rsidRDefault="00471B5A" w:rsidP="00726F56">
            <w:pPr>
              <w:jc w:val="both"/>
              <w:rPr>
                <w:b/>
                <w:sz w:val="22"/>
                <w:szCs w:val="22"/>
              </w:rPr>
            </w:pPr>
            <w:r w:rsidRPr="00726F56">
              <w:rPr>
                <w:b/>
                <w:sz w:val="22"/>
                <w:szCs w:val="22"/>
              </w:rPr>
              <w:t>Progress Report</w:t>
            </w:r>
          </w:p>
        </w:tc>
        <w:tc>
          <w:tcPr>
            <w:tcW w:w="1244" w:type="dxa"/>
          </w:tcPr>
          <w:p w:rsidR="00471B5A" w:rsidRPr="00726F56" w:rsidRDefault="00471B5A" w:rsidP="00726F56">
            <w:pPr>
              <w:pStyle w:val="NoSpacing"/>
              <w:jc w:val="both"/>
              <w:rPr>
                <w:b/>
                <w:sz w:val="22"/>
                <w:szCs w:val="22"/>
              </w:rPr>
            </w:pPr>
          </w:p>
        </w:tc>
      </w:tr>
      <w:tr w:rsidR="00471B5A" w:rsidRPr="00726F56" w:rsidTr="004562FD">
        <w:trPr>
          <w:jc w:val="center"/>
        </w:trPr>
        <w:tc>
          <w:tcPr>
            <w:tcW w:w="767" w:type="dxa"/>
          </w:tcPr>
          <w:p w:rsidR="00471B5A" w:rsidRPr="00726F56" w:rsidRDefault="00471B5A" w:rsidP="00726F56">
            <w:pPr>
              <w:jc w:val="both"/>
              <w:rPr>
                <w:b/>
                <w:sz w:val="22"/>
                <w:szCs w:val="22"/>
              </w:rPr>
            </w:pPr>
          </w:p>
        </w:tc>
        <w:tc>
          <w:tcPr>
            <w:tcW w:w="7027" w:type="dxa"/>
          </w:tcPr>
          <w:p w:rsidR="00501595" w:rsidRPr="00726F56" w:rsidRDefault="00471B5A" w:rsidP="00726F56">
            <w:pPr>
              <w:pStyle w:val="PlainText"/>
              <w:jc w:val="both"/>
              <w:rPr>
                <w:rFonts w:ascii="Arial" w:hAnsi="Arial" w:cs="Arial"/>
                <w:bCs/>
                <w:szCs w:val="22"/>
              </w:rPr>
            </w:pPr>
            <w:r w:rsidRPr="00726F56">
              <w:rPr>
                <w:rFonts w:ascii="Arial" w:hAnsi="Arial" w:cs="Arial"/>
                <w:szCs w:val="22"/>
              </w:rPr>
              <w:t>Louise Tweedie, Director</w:t>
            </w:r>
            <w:r w:rsidRPr="00726F56">
              <w:rPr>
                <w:rFonts w:ascii="Arial" w:hAnsi="Arial" w:cs="Arial"/>
                <w:bCs/>
                <w:szCs w:val="22"/>
              </w:rPr>
              <w:t>, RSM Risk Assurance Services LLP,</w:t>
            </w:r>
            <w:r w:rsidRPr="00726F56">
              <w:rPr>
                <w:rFonts w:ascii="Arial" w:hAnsi="Arial" w:cs="Arial"/>
                <w:szCs w:val="22"/>
              </w:rPr>
              <w:t xml:space="preserve"> presented the internal audit reports, with the first s</w:t>
            </w:r>
            <w:r w:rsidR="008C288C" w:rsidRPr="00726F56">
              <w:rPr>
                <w:rFonts w:ascii="Arial" w:hAnsi="Arial" w:cs="Arial"/>
                <w:szCs w:val="22"/>
              </w:rPr>
              <w:t xml:space="preserve">ummarising progress to date.  The RAG ratings were all positive, being green with one amber/green.  The report </w:t>
            </w:r>
            <w:r w:rsidR="00EF2DD0" w:rsidRPr="00726F56">
              <w:rPr>
                <w:rFonts w:ascii="Arial" w:hAnsi="Arial" w:cs="Arial"/>
                <w:szCs w:val="22"/>
              </w:rPr>
              <w:t>included “</w:t>
            </w:r>
            <w:r w:rsidR="00EF2DD0" w:rsidRPr="00726F56">
              <w:rPr>
                <w:rFonts w:ascii="Arial" w:eastAsiaTheme="minorHAnsi" w:hAnsi="Arial" w:cs="Arial"/>
                <w:szCs w:val="22"/>
              </w:rPr>
              <w:t xml:space="preserve">Further Education Emerging Issues Spring 2019” and attention was drawn to the T-Level information and the National </w:t>
            </w:r>
            <w:r w:rsidR="00726F56" w:rsidRPr="00726F56">
              <w:rPr>
                <w:rFonts w:ascii="Arial" w:eastAsiaTheme="minorHAnsi" w:hAnsi="Arial" w:cs="Arial"/>
                <w:szCs w:val="22"/>
              </w:rPr>
              <w:t>Audit</w:t>
            </w:r>
            <w:r w:rsidR="00EF2DD0" w:rsidRPr="00726F56">
              <w:rPr>
                <w:rFonts w:ascii="Arial" w:eastAsiaTheme="minorHAnsi" w:hAnsi="Arial" w:cs="Arial"/>
                <w:szCs w:val="22"/>
              </w:rPr>
              <w:t xml:space="preserve"> Office Report on the Value for Money offered by Apprenticeships.  In 2017/18 only 9% of the levy had been utilised, probably due to complexity.  The </w:t>
            </w:r>
            <w:r w:rsidR="00726F56" w:rsidRPr="00726F56">
              <w:rPr>
                <w:rFonts w:ascii="Arial" w:eastAsiaTheme="minorHAnsi" w:hAnsi="Arial" w:cs="Arial"/>
                <w:szCs w:val="22"/>
              </w:rPr>
              <w:t>average</w:t>
            </w:r>
            <w:r w:rsidR="00726F56">
              <w:rPr>
                <w:rFonts w:ascii="Arial" w:eastAsiaTheme="minorHAnsi" w:hAnsi="Arial" w:cs="Arial"/>
                <w:szCs w:val="22"/>
              </w:rPr>
              <w:t xml:space="preserve"> cost was double the Government</w:t>
            </w:r>
            <w:r w:rsidR="00EF2DD0" w:rsidRPr="00726F56">
              <w:rPr>
                <w:rFonts w:ascii="Arial" w:eastAsiaTheme="minorHAnsi" w:hAnsi="Arial" w:cs="Arial"/>
                <w:szCs w:val="22"/>
              </w:rPr>
              <w:t xml:space="preserve"> expectation</w:t>
            </w:r>
            <w:r w:rsidR="00994ACE" w:rsidRPr="00726F56">
              <w:rPr>
                <w:rFonts w:ascii="Arial" w:eastAsiaTheme="minorHAnsi" w:hAnsi="Arial" w:cs="Arial"/>
                <w:szCs w:val="22"/>
              </w:rPr>
              <w:t xml:space="preserve">, there were fears of overspending the budget and some end point </w:t>
            </w:r>
            <w:r w:rsidR="00726F56" w:rsidRPr="00726F56">
              <w:rPr>
                <w:rFonts w:ascii="Arial" w:eastAsiaTheme="minorHAnsi" w:hAnsi="Arial" w:cs="Arial"/>
                <w:szCs w:val="22"/>
              </w:rPr>
              <w:t>assessments</w:t>
            </w:r>
            <w:r w:rsidR="00994ACE" w:rsidRPr="00726F56">
              <w:rPr>
                <w:rFonts w:ascii="Arial" w:eastAsiaTheme="minorHAnsi" w:hAnsi="Arial" w:cs="Arial"/>
                <w:szCs w:val="22"/>
              </w:rPr>
              <w:t xml:space="preserve"> were not available.  There was concern that, like Train to Gain in the past, the Government scheme </w:t>
            </w:r>
            <w:r w:rsidR="00994ACE" w:rsidRPr="00726F56">
              <w:rPr>
                <w:rFonts w:ascii="Arial" w:eastAsiaTheme="minorHAnsi" w:hAnsi="Arial" w:cs="Arial"/>
                <w:szCs w:val="22"/>
              </w:rPr>
              <w:lastRenderedPageBreak/>
              <w:t xml:space="preserve">was </w:t>
            </w:r>
            <w:r w:rsidR="00726F56" w:rsidRPr="00726F56">
              <w:rPr>
                <w:rFonts w:ascii="Arial" w:eastAsiaTheme="minorHAnsi" w:hAnsi="Arial" w:cs="Arial"/>
                <w:szCs w:val="22"/>
              </w:rPr>
              <w:t>being</w:t>
            </w:r>
            <w:r w:rsidR="00726F56">
              <w:rPr>
                <w:rFonts w:ascii="Arial" w:eastAsiaTheme="minorHAnsi" w:hAnsi="Arial" w:cs="Arial"/>
                <w:szCs w:val="22"/>
              </w:rPr>
              <w:t xml:space="preserve"> used to fund training that e</w:t>
            </w:r>
            <w:r w:rsidR="00994ACE" w:rsidRPr="00726F56">
              <w:rPr>
                <w:rFonts w:ascii="Arial" w:eastAsiaTheme="minorHAnsi" w:hAnsi="Arial" w:cs="Arial"/>
                <w:szCs w:val="22"/>
              </w:rPr>
              <w:t xml:space="preserve">mployers would have provided anyway.  A </w:t>
            </w:r>
            <w:r w:rsidR="00726F56" w:rsidRPr="00726F56">
              <w:rPr>
                <w:rFonts w:ascii="Arial" w:eastAsiaTheme="minorHAnsi" w:hAnsi="Arial" w:cs="Arial"/>
                <w:szCs w:val="22"/>
              </w:rPr>
              <w:t>Governor</w:t>
            </w:r>
            <w:r w:rsidR="00994ACE" w:rsidRPr="00726F56">
              <w:rPr>
                <w:rFonts w:ascii="Arial" w:eastAsiaTheme="minorHAnsi" w:hAnsi="Arial" w:cs="Arial"/>
                <w:szCs w:val="22"/>
              </w:rPr>
              <w:t xml:space="preserve"> asked what support was offered to </w:t>
            </w:r>
            <w:r w:rsidR="00726F56" w:rsidRPr="00726F56">
              <w:rPr>
                <w:rFonts w:ascii="Arial" w:eastAsiaTheme="minorHAnsi" w:hAnsi="Arial" w:cs="Arial"/>
                <w:szCs w:val="22"/>
              </w:rPr>
              <w:t>employers</w:t>
            </w:r>
            <w:r w:rsidR="00994ACE" w:rsidRPr="00726F56">
              <w:rPr>
                <w:rFonts w:ascii="Arial" w:eastAsiaTheme="minorHAnsi" w:hAnsi="Arial" w:cs="Arial"/>
                <w:szCs w:val="22"/>
              </w:rPr>
              <w:t xml:space="preserve"> by the College and the </w:t>
            </w:r>
            <w:r w:rsidR="00994ACE" w:rsidRPr="00726F56">
              <w:rPr>
                <w:rFonts w:ascii="Arial" w:eastAsiaTheme="minorHAnsi" w:hAnsi="Arial" w:cs="Arial"/>
                <w:bCs/>
                <w:szCs w:val="22"/>
              </w:rPr>
              <w:t>Director, Funding, Data and External Contracts</w:t>
            </w:r>
            <w:r w:rsidR="00994ACE" w:rsidRPr="00726F56">
              <w:rPr>
                <w:rFonts w:ascii="Arial" w:eastAsiaTheme="minorHAnsi" w:hAnsi="Arial" w:cs="Arial"/>
                <w:szCs w:val="22"/>
              </w:rPr>
              <w:t xml:space="preserve"> reported </w:t>
            </w:r>
            <w:r w:rsidR="00726F56" w:rsidRPr="00726F56">
              <w:rPr>
                <w:rFonts w:ascii="Arial" w:eastAsiaTheme="minorHAnsi" w:hAnsi="Arial" w:cs="Arial"/>
                <w:szCs w:val="22"/>
              </w:rPr>
              <w:t>that</w:t>
            </w:r>
            <w:r w:rsidR="00994ACE" w:rsidRPr="00726F56">
              <w:rPr>
                <w:rFonts w:ascii="Arial" w:eastAsiaTheme="minorHAnsi" w:hAnsi="Arial" w:cs="Arial"/>
                <w:szCs w:val="22"/>
              </w:rPr>
              <w:t xml:space="preserve"> at the </w:t>
            </w:r>
            <w:r w:rsidR="00726F56" w:rsidRPr="00726F56">
              <w:rPr>
                <w:rFonts w:ascii="Arial" w:eastAsiaTheme="minorHAnsi" w:hAnsi="Arial" w:cs="Arial"/>
                <w:szCs w:val="22"/>
              </w:rPr>
              <w:t>Solutions</w:t>
            </w:r>
            <w:r w:rsidR="00994ACE" w:rsidRPr="00726F56">
              <w:rPr>
                <w:rFonts w:ascii="Arial" w:eastAsiaTheme="minorHAnsi" w:hAnsi="Arial" w:cs="Arial"/>
                <w:szCs w:val="22"/>
              </w:rPr>
              <w:t xml:space="preserve"> team</w:t>
            </w:r>
            <w:r w:rsidR="00726F56">
              <w:rPr>
                <w:rFonts w:ascii="Arial" w:eastAsiaTheme="minorHAnsi" w:hAnsi="Arial" w:cs="Arial"/>
                <w:szCs w:val="22"/>
              </w:rPr>
              <w:t xml:space="preserve"> worked closely with e</w:t>
            </w:r>
            <w:r w:rsidR="00726F56" w:rsidRPr="00726F56">
              <w:rPr>
                <w:rFonts w:ascii="Arial" w:eastAsiaTheme="minorHAnsi" w:hAnsi="Arial" w:cs="Arial"/>
                <w:szCs w:val="22"/>
              </w:rPr>
              <w:t>mployers</w:t>
            </w:r>
            <w:r w:rsidR="00994ACE" w:rsidRPr="00726F56">
              <w:rPr>
                <w:rFonts w:ascii="Arial" w:eastAsiaTheme="minorHAnsi" w:hAnsi="Arial" w:cs="Arial"/>
                <w:szCs w:val="22"/>
              </w:rPr>
              <w:t xml:space="preserve"> offering a range of assistance. </w:t>
            </w:r>
          </w:p>
        </w:tc>
        <w:tc>
          <w:tcPr>
            <w:tcW w:w="1244" w:type="dxa"/>
          </w:tcPr>
          <w:p w:rsidR="00471B5A" w:rsidRPr="00726F56" w:rsidRDefault="00471B5A" w:rsidP="00726F56">
            <w:pPr>
              <w:pStyle w:val="NoSpacing"/>
              <w:jc w:val="both"/>
              <w:rPr>
                <w:b/>
                <w:sz w:val="22"/>
                <w:szCs w:val="22"/>
              </w:rPr>
            </w:pPr>
          </w:p>
        </w:tc>
      </w:tr>
      <w:tr w:rsidR="00471B5A" w:rsidRPr="00726F56" w:rsidTr="004562FD">
        <w:trPr>
          <w:jc w:val="center"/>
        </w:trPr>
        <w:tc>
          <w:tcPr>
            <w:tcW w:w="767" w:type="dxa"/>
          </w:tcPr>
          <w:p w:rsidR="00471B5A" w:rsidRPr="00726F56" w:rsidRDefault="00471B5A" w:rsidP="00726F56">
            <w:pPr>
              <w:jc w:val="both"/>
              <w:rPr>
                <w:b/>
                <w:sz w:val="22"/>
                <w:szCs w:val="22"/>
              </w:rPr>
            </w:pPr>
          </w:p>
        </w:tc>
        <w:tc>
          <w:tcPr>
            <w:tcW w:w="7027" w:type="dxa"/>
          </w:tcPr>
          <w:p w:rsidR="00471B5A" w:rsidRPr="00726F56" w:rsidRDefault="00471B5A" w:rsidP="00726F56">
            <w:pPr>
              <w:pStyle w:val="PlainText"/>
              <w:jc w:val="both"/>
              <w:rPr>
                <w:rFonts w:ascii="Arial" w:hAnsi="Arial" w:cs="Arial"/>
                <w:szCs w:val="22"/>
              </w:rPr>
            </w:pPr>
          </w:p>
        </w:tc>
        <w:tc>
          <w:tcPr>
            <w:tcW w:w="1244" w:type="dxa"/>
          </w:tcPr>
          <w:p w:rsidR="00471B5A" w:rsidRPr="00726F56" w:rsidRDefault="00471B5A" w:rsidP="00726F56">
            <w:pPr>
              <w:pStyle w:val="NoSpacing"/>
              <w:jc w:val="both"/>
              <w:rPr>
                <w:b/>
                <w:sz w:val="22"/>
                <w:szCs w:val="22"/>
              </w:rPr>
            </w:pPr>
          </w:p>
        </w:tc>
      </w:tr>
      <w:tr w:rsidR="00471B5A" w:rsidRPr="00726F56" w:rsidTr="004562FD">
        <w:trPr>
          <w:trHeight w:val="70"/>
          <w:jc w:val="center"/>
        </w:trPr>
        <w:tc>
          <w:tcPr>
            <w:tcW w:w="767" w:type="dxa"/>
          </w:tcPr>
          <w:p w:rsidR="00471B5A" w:rsidRPr="00726F56" w:rsidRDefault="00471B5A" w:rsidP="00726F56">
            <w:pPr>
              <w:jc w:val="both"/>
              <w:rPr>
                <w:b/>
                <w:sz w:val="22"/>
                <w:szCs w:val="22"/>
              </w:rPr>
            </w:pPr>
            <w:r w:rsidRPr="00726F56">
              <w:rPr>
                <w:b/>
                <w:sz w:val="22"/>
                <w:szCs w:val="22"/>
              </w:rPr>
              <w:t>ii)</w:t>
            </w:r>
          </w:p>
        </w:tc>
        <w:tc>
          <w:tcPr>
            <w:tcW w:w="7027" w:type="dxa"/>
          </w:tcPr>
          <w:p w:rsidR="00471B5A" w:rsidRPr="00726F56" w:rsidRDefault="00501595" w:rsidP="00726F56">
            <w:pPr>
              <w:autoSpaceDE w:val="0"/>
              <w:autoSpaceDN w:val="0"/>
              <w:adjustRightInd w:val="0"/>
              <w:jc w:val="both"/>
              <w:rPr>
                <w:rFonts w:eastAsiaTheme="minorHAnsi"/>
                <w:b/>
                <w:sz w:val="22"/>
                <w:szCs w:val="22"/>
              </w:rPr>
            </w:pPr>
            <w:r w:rsidRPr="00726F56">
              <w:rPr>
                <w:rFonts w:eastAsiaTheme="minorHAnsi"/>
                <w:b/>
                <w:sz w:val="22"/>
                <w:szCs w:val="22"/>
              </w:rPr>
              <w:t>Learner Number Systems: Compliance Testing</w:t>
            </w:r>
          </w:p>
        </w:tc>
        <w:tc>
          <w:tcPr>
            <w:tcW w:w="1244" w:type="dxa"/>
          </w:tcPr>
          <w:p w:rsidR="00471B5A" w:rsidRPr="00726F56" w:rsidRDefault="00471B5A" w:rsidP="00726F56">
            <w:pPr>
              <w:pStyle w:val="NoSpacing"/>
              <w:jc w:val="both"/>
              <w:rPr>
                <w:b/>
                <w:sz w:val="22"/>
                <w:szCs w:val="22"/>
              </w:rPr>
            </w:pPr>
          </w:p>
        </w:tc>
      </w:tr>
      <w:tr w:rsidR="00471B5A" w:rsidRPr="00726F56" w:rsidTr="004562FD">
        <w:trPr>
          <w:jc w:val="center"/>
        </w:trPr>
        <w:tc>
          <w:tcPr>
            <w:tcW w:w="767" w:type="dxa"/>
          </w:tcPr>
          <w:p w:rsidR="00471B5A" w:rsidRPr="00726F56" w:rsidRDefault="00471B5A" w:rsidP="00726F56">
            <w:pPr>
              <w:jc w:val="both"/>
              <w:rPr>
                <w:b/>
                <w:sz w:val="22"/>
                <w:szCs w:val="22"/>
              </w:rPr>
            </w:pPr>
          </w:p>
        </w:tc>
        <w:tc>
          <w:tcPr>
            <w:tcW w:w="7027" w:type="dxa"/>
          </w:tcPr>
          <w:p w:rsidR="00471B5A" w:rsidRPr="00726F56" w:rsidRDefault="00B4653A" w:rsidP="00726F56">
            <w:pPr>
              <w:autoSpaceDE w:val="0"/>
              <w:autoSpaceDN w:val="0"/>
              <w:adjustRightInd w:val="0"/>
              <w:jc w:val="both"/>
              <w:rPr>
                <w:rFonts w:eastAsiaTheme="minorHAnsi"/>
                <w:sz w:val="22"/>
                <w:szCs w:val="22"/>
              </w:rPr>
            </w:pPr>
            <w:r w:rsidRPr="00726F56">
              <w:rPr>
                <w:sz w:val="22"/>
                <w:szCs w:val="22"/>
              </w:rPr>
              <w:t>The Director</w:t>
            </w:r>
            <w:r w:rsidRPr="00726F56">
              <w:rPr>
                <w:bCs/>
                <w:sz w:val="22"/>
                <w:szCs w:val="22"/>
              </w:rPr>
              <w:t>, RSM Risk Assurance Services LLP</w:t>
            </w:r>
            <w:r w:rsidRPr="00726F56">
              <w:rPr>
                <w:sz w:val="22"/>
                <w:szCs w:val="22"/>
              </w:rPr>
              <w:t xml:space="preserve"> reported that t</w:t>
            </w:r>
            <w:r w:rsidR="00501595" w:rsidRPr="00726F56">
              <w:rPr>
                <w:sz w:val="22"/>
                <w:szCs w:val="22"/>
              </w:rPr>
              <w:t xml:space="preserve">his was an advisory review and therefore did not provide an assurance level. </w:t>
            </w:r>
            <w:r w:rsidR="00501595" w:rsidRPr="00726F56">
              <w:rPr>
                <w:rFonts w:eastAsiaTheme="minorHAnsi"/>
                <w:sz w:val="22"/>
                <w:szCs w:val="22"/>
              </w:rPr>
              <w:t xml:space="preserve">There were 6 low, 4 medium and 1 high priority </w:t>
            </w:r>
            <w:r w:rsidR="00B24EFC" w:rsidRPr="00726F56">
              <w:rPr>
                <w:rFonts w:eastAsiaTheme="minorHAnsi"/>
                <w:sz w:val="22"/>
                <w:szCs w:val="22"/>
              </w:rPr>
              <w:t xml:space="preserve">agreed </w:t>
            </w:r>
            <w:r w:rsidR="00501595" w:rsidRPr="00726F56">
              <w:rPr>
                <w:rFonts w:eastAsiaTheme="minorHAnsi"/>
                <w:sz w:val="22"/>
                <w:szCs w:val="22"/>
              </w:rPr>
              <w:t>management actions</w:t>
            </w:r>
            <w:r w:rsidR="00994ACE" w:rsidRPr="00726F56">
              <w:rPr>
                <w:rFonts w:eastAsiaTheme="minorHAnsi"/>
                <w:sz w:val="22"/>
                <w:szCs w:val="22"/>
              </w:rPr>
              <w:t xml:space="preserve"> in total, spread across post 1 May 2017 Apprenticeships, 16-19 year old funded learners and High Needs learners</w:t>
            </w:r>
            <w:r w:rsidR="00501595" w:rsidRPr="00726F56">
              <w:rPr>
                <w:rFonts w:eastAsiaTheme="minorHAnsi"/>
                <w:sz w:val="22"/>
                <w:szCs w:val="22"/>
              </w:rPr>
              <w:t>.</w:t>
            </w:r>
            <w:r w:rsidR="00994ACE" w:rsidRPr="00726F56">
              <w:rPr>
                <w:rFonts w:eastAsiaTheme="minorHAnsi"/>
                <w:sz w:val="22"/>
                <w:szCs w:val="22"/>
              </w:rPr>
              <w:t xml:space="preserve">  More detail was provided about the high priority action which was in the Apprenticeships area relating to </w:t>
            </w:r>
            <w:r w:rsidR="00F62E59" w:rsidRPr="00726F56">
              <w:rPr>
                <w:rFonts w:eastAsiaTheme="minorHAnsi"/>
                <w:sz w:val="22"/>
                <w:szCs w:val="22"/>
              </w:rPr>
              <w:t xml:space="preserve">several aspects of </w:t>
            </w:r>
            <w:r w:rsidR="00994ACE" w:rsidRPr="00726F56">
              <w:rPr>
                <w:rFonts w:eastAsiaTheme="minorHAnsi"/>
                <w:sz w:val="22"/>
                <w:szCs w:val="22"/>
              </w:rPr>
              <w:t xml:space="preserve">planned off the job activities </w:t>
            </w:r>
            <w:r w:rsidR="00F62E59" w:rsidRPr="00726F56">
              <w:rPr>
                <w:rFonts w:eastAsiaTheme="minorHAnsi"/>
                <w:sz w:val="22"/>
                <w:szCs w:val="22"/>
              </w:rPr>
              <w:t>which created potential funding exposure</w:t>
            </w:r>
            <w:r w:rsidR="00994ACE" w:rsidRPr="00726F56">
              <w:rPr>
                <w:rFonts w:eastAsiaTheme="minorHAnsi"/>
                <w:sz w:val="22"/>
                <w:szCs w:val="22"/>
              </w:rPr>
              <w:t xml:space="preserve">.  A Governor asked what the College’s exposure was in terms of these issues and the </w:t>
            </w:r>
            <w:r w:rsidR="00994ACE" w:rsidRPr="00726F56">
              <w:rPr>
                <w:rFonts w:eastAsiaTheme="minorHAnsi"/>
                <w:bCs/>
                <w:sz w:val="22"/>
                <w:szCs w:val="22"/>
              </w:rPr>
              <w:t>Director, Funding, Data and External Contracts</w:t>
            </w:r>
            <w:r w:rsidR="00F62E59" w:rsidRPr="00726F56">
              <w:rPr>
                <w:rFonts w:eastAsiaTheme="minorHAnsi"/>
                <w:sz w:val="22"/>
                <w:szCs w:val="22"/>
              </w:rPr>
              <w:t xml:space="preserve"> said that it was not massive and that the College had agreed to tighten recording and planning of the off the job elements. Louise Tweedie stated that all the exceptions noted were consistent with those found in other Colleges.</w:t>
            </w:r>
          </w:p>
        </w:tc>
        <w:tc>
          <w:tcPr>
            <w:tcW w:w="1244" w:type="dxa"/>
          </w:tcPr>
          <w:p w:rsidR="00471B5A" w:rsidRPr="00726F56" w:rsidRDefault="00471B5A" w:rsidP="00726F56">
            <w:pPr>
              <w:pStyle w:val="NoSpacing"/>
              <w:jc w:val="both"/>
              <w:rPr>
                <w:b/>
                <w:sz w:val="22"/>
                <w:szCs w:val="22"/>
              </w:rPr>
            </w:pPr>
          </w:p>
        </w:tc>
      </w:tr>
      <w:tr w:rsidR="00F62E59" w:rsidRPr="00726F56" w:rsidTr="004562FD">
        <w:trPr>
          <w:jc w:val="center"/>
        </w:trPr>
        <w:tc>
          <w:tcPr>
            <w:tcW w:w="767" w:type="dxa"/>
          </w:tcPr>
          <w:p w:rsidR="00F62E59" w:rsidRPr="00726F56" w:rsidRDefault="00F62E59" w:rsidP="00726F56">
            <w:pPr>
              <w:jc w:val="both"/>
              <w:rPr>
                <w:b/>
                <w:sz w:val="22"/>
                <w:szCs w:val="22"/>
              </w:rPr>
            </w:pPr>
          </w:p>
        </w:tc>
        <w:tc>
          <w:tcPr>
            <w:tcW w:w="7027" w:type="dxa"/>
          </w:tcPr>
          <w:p w:rsidR="00F62E59" w:rsidRPr="00726F56" w:rsidRDefault="00F62E59" w:rsidP="00726F56">
            <w:pPr>
              <w:pStyle w:val="NormalWeb"/>
              <w:jc w:val="both"/>
              <w:rPr>
                <w:rFonts w:ascii="Arial" w:hAnsi="Arial" w:cs="Arial"/>
                <w:sz w:val="22"/>
                <w:szCs w:val="22"/>
              </w:rPr>
            </w:pPr>
          </w:p>
        </w:tc>
        <w:tc>
          <w:tcPr>
            <w:tcW w:w="1244" w:type="dxa"/>
          </w:tcPr>
          <w:p w:rsidR="00F62E59" w:rsidRPr="00726F56" w:rsidRDefault="00F62E59" w:rsidP="00726F56">
            <w:pPr>
              <w:pStyle w:val="NoSpacing"/>
              <w:jc w:val="both"/>
              <w:rPr>
                <w:b/>
                <w:sz w:val="22"/>
                <w:szCs w:val="22"/>
              </w:rPr>
            </w:pPr>
          </w:p>
        </w:tc>
      </w:tr>
      <w:tr w:rsidR="00F62E59" w:rsidRPr="00726F56" w:rsidTr="004562FD">
        <w:trPr>
          <w:jc w:val="center"/>
        </w:trPr>
        <w:tc>
          <w:tcPr>
            <w:tcW w:w="767" w:type="dxa"/>
          </w:tcPr>
          <w:p w:rsidR="00F62E59" w:rsidRPr="00726F56" w:rsidRDefault="00F62E59" w:rsidP="00726F56">
            <w:pPr>
              <w:jc w:val="both"/>
              <w:rPr>
                <w:b/>
                <w:sz w:val="22"/>
                <w:szCs w:val="22"/>
              </w:rPr>
            </w:pPr>
          </w:p>
        </w:tc>
        <w:tc>
          <w:tcPr>
            <w:tcW w:w="7027" w:type="dxa"/>
          </w:tcPr>
          <w:p w:rsidR="00F62E59" w:rsidRPr="00726F56" w:rsidRDefault="00F62E59" w:rsidP="00726F56">
            <w:pPr>
              <w:pStyle w:val="NormalWeb"/>
              <w:jc w:val="both"/>
              <w:rPr>
                <w:rFonts w:ascii="Arial" w:hAnsi="Arial" w:cs="Arial"/>
                <w:bCs/>
                <w:sz w:val="22"/>
                <w:szCs w:val="22"/>
              </w:rPr>
            </w:pPr>
            <w:r w:rsidRPr="00726F56">
              <w:rPr>
                <w:rFonts w:ascii="Arial" w:hAnsi="Arial" w:cs="Arial"/>
                <w:sz w:val="22"/>
                <w:szCs w:val="22"/>
              </w:rPr>
              <w:t>Governors challenged the Director</w:t>
            </w:r>
            <w:r w:rsidRPr="00726F56">
              <w:rPr>
                <w:rFonts w:ascii="Arial" w:hAnsi="Arial" w:cs="Arial"/>
                <w:bCs/>
                <w:sz w:val="22"/>
                <w:szCs w:val="22"/>
              </w:rPr>
              <w:t xml:space="preserve">, RSM Risk Assurance Services LLP, asking: </w:t>
            </w:r>
          </w:p>
          <w:p w:rsidR="00F62E59" w:rsidRPr="00726F56" w:rsidRDefault="00F62E59" w:rsidP="00726F56">
            <w:pPr>
              <w:pStyle w:val="NormalWeb"/>
              <w:numPr>
                <w:ilvl w:val="0"/>
                <w:numId w:val="37"/>
              </w:numPr>
              <w:jc w:val="both"/>
              <w:rPr>
                <w:rFonts w:ascii="Arial" w:hAnsi="Arial" w:cs="Arial"/>
                <w:sz w:val="22"/>
                <w:szCs w:val="22"/>
              </w:rPr>
            </w:pPr>
            <w:r w:rsidRPr="00726F56">
              <w:rPr>
                <w:rFonts w:ascii="Arial" w:hAnsi="Arial" w:cs="Arial"/>
                <w:bCs/>
                <w:sz w:val="22"/>
                <w:szCs w:val="22"/>
              </w:rPr>
              <w:t xml:space="preserve">Why this report had no </w:t>
            </w:r>
            <w:r w:rsidRPr="00726F56">
              <w:rPr>
                <w:rFonts w:ascii="Arial" w:hAnsi="Arial" w:cs="Arial"/>
                <w:sz w:val="22"/>
                <w:szCs w:val="22"/>
              </w:rPr>
              <w:t>RAG rated statement of assurance.  Louise Tweedie explained that RSM’s Head</w:t>
            </w:r>
            <w:r w:rsidR="00B4653A" w:rsidRPr="00726F56">
              <w:rPr>
                <w:rFonts w:ascii="Arial" w:hAnsi="Arial" w:cs="Arial"/>
                <w:sz w:val="22"/>
                <w:szCs w:val="22"/>
              </w:rPr>
              <w:t xml:space="preserve"> of FE</w:t>
            </w:r>
            <w:r w:rsidRPr="00726F56">
              <w:rPr>
                <w:rFonts w:ascii="Arial" w:hAnsi="Arial" w:cs="Arial"/>
                <w:sz w:val="22"/>
                <w:szCs w:val="22"/>
              </w:rPr>
              <w:t xml:space="preserve"> and Skills had set a policy to not give opinions on Learner Number Audits but to report in terms of breaches of the rules.  This was because the area was extremely technical and complex.</w:t>
            </w:r>
          </w:p>
          <w:p w:rsidR="00F62E59" w:rsidRPr="00726F56" w:rsidRDefault="007467C6" w:rsidP="00726F56">
            <w:pPr>
              <w:pStyle w:val="ListParagraph"/>
              <w:numPr>
                <w:ilvl w:val="0"/>
                <w:numId w:val="37"/>
              </w:numPr>
              <w:jc w:val="both"/>
              <w:rPr>
                <w:sz w:val="22"/>
                <w:szCs w:val="22"/>
              </w:rPr>
            </w:pPr>
            <w:r w:rsidRPr="00726F56">
              <w:rPr>
                <w:sz w:val="22"/>
                <w:szCs w:val="22"/>
              </w:rPr>
              <w:t>Why the reporting dates indic</w:t>
            </w:r>
            <w:r w:rsidR="00B4653A" w:rsidRPr="00726F56">
              <w:rPr>
                <w:sz w:val="22"/>
                <w:szCs w:val="22"/>
              </w:rPr>
              <w:t>a</w:t>
            </w:r>
            <w:r w:rsidRPr="00726F56">
              <w:rPr>
                <w:sz w:val="22"/>
                <w:szCs w:val="22"/>
              </w:rPr>
              <w:t>ted that it took a long time to get beyond the first draft of a report.  The Director</w:t>
            </w:r>
            <w:r w:rsidRPr="00726F56">
              <w:rPr>
                <w:bCs/>
                <w:sz w:val="22"/>
                <w:szCs w:val="22"/>
              </w:rPr>
              <w:t>, RSM Risk Assurance Services LLP and the Vice Principal and Deputy Chief Executive</w:t>
            </w:r>
            <w:r w:rsidRPr="00726F56">
              <w:rPr>
                <w:sz w:val="22"/>
                <w:szCs w:val="22"/>
              </w:rPr>
              <w:t xml:space="preserve"> Officer stated that this could be a protracted process a</w:t>
            </w:r>
            <w:r w:rsidR="007D3076">
              <w:rPr>
                <w:sz w:val="22"/>
                <w:szCs w:val="22"/>
              </w:rPr>
              <w:t>n</w:t>
            </w:r>
            <w:r w:rsidRPr="00726F56">
              <w:rPr>
                <w:sz w:val="22"/>
                <w:szCs w:val="22"/>
              </w:rPr>
              <w:t>d in this case had not been he</w:t>
            </w:r>
            <w:r w:rsidR="00ED7E03">
              <w:rPr>
                <w:sz w:val="22"/>
                <w:szCs w:val="22"/>
              </w:rPr>
              <w:t>lped by a change to Government f</w:t>
            </w:r>
            <w:r w:rsidRPr="00726F56">
              <w:rPr>
                <w:sz w:val="22"/>
                <w:szCs w:val="22"/>
              </w:rPr>
              <w:t xml:space="preserve">unding rules for </w:t>
            </w:r>
            <w:r w:rsidR="00ED7E03" w:rsidRPr="00ED7E03">
              <w:rPr>
                <w:sz w:val="22"/>
                <w:szCs w:val="22"/>
              </w:rPr>
              <w:t>off the job training</w:t>
            </w:r>
            <w:r w:rsidRPr="00ED7E03">
              <w:rPr>
                <w:sz w:val="22"/>
                <w:szCs w:val="22"/>
              </w:rPr>
              <w:t xml:space="preserve"> after</w:t>
            </w:r>
            <w:r w:rsidRPr="00726F56">
              <w:rPr>
                <w:sz w:val="22"/>
                <w:szCs w:val="22"/>
              </w:rPr>
              <w:t xml:space="preserve"> the audit.</w:t>
            </w:r>
            <w:r w:rsidRPr="00726F56">
              <w:rPr>
                <w:bCs/>
                <w:sz w:val="22"/>
                <w:szCs w:val="22"/>
              </w:rPr>
              <w:t xml:space="preserve"> </w:t>
            </w:r>
          </w:p>
          <w:p w:rsidR="007467C6" w:rsidRPr="00726F56" w:rsidRDefault="007467C6" w:rsidP="000C5834">
            <w:pPr>
              <w:jc w:val="both"/>
              <w:rPr>
                <w:sz w:val="22"/>
                <w:szCs w:val="22"/>
              </w:rPr>
            </w:pPr>
            <w:r w:rsidRPr="00726F56">
              <w:rPr>
                <w:sz w:val="22"/>
                <w:szCs w:val="22"/>
              </w:rPr>
              <w:t>The Principal commented that the College had a good track reco</w:t>
            </w:r>
            <w:r w:rsidR="00481677">
              <w:rPr>
                <w:sz w:val="22"/>
                <w:szCs w:val="22"/>
              </w:rPr>
              <w:t>rd with little funding clawback and</w:t>
            </w:r>
            <w:r w:rsidRPr="00726F56">
              <w:rPr>
                <w:sz w:val="22"/>
                <w:szCs w:val="22"/>
              </w:rPr>
              <w:t xml:space="preserve"> the Assurance and Compliance Manager stated that there were no major surprises in the report and that </w:t>
            </w:r>
            <w:r w:rsidR="00B4653A" w:rsidRPr="00726F56">
              <w:rPr>
                <w:sz w:val="22"/>
                <w:szCs w:val="22"/>
              </w:rPr>
              <w:t>monitoring</w:t>
            </w:r>
            <w:r w:rsidRPr="00726F56">
              <w:rPr>
                <w:sz w:val="22"/>
                <w:szCs w:val="22"/>
              </w:rPr>
              <w:t xml:space="preserve"> was in place for those concerns</w:t>
            </w:r>
            <w:r w:rsidR="00481677">
              <w:rPr>
                <w:sz w:val="22"/>
                <w:szCs w:val="22"/>
              </w:rPr>
              <w:t>.  The</w:t>
            </w:r>
            <w:r w:rsidR="00B4653A" w:rsidRPr="00726F56">
              <w:rPr>
                <w:sz w:val="22"/>
                <w:szCs w:val="22"/>
              </w:rPr>
              <w:t xml:space="preserve"> Staff Governor commented that it was very difficult to get the County Council to update Education Health and Care Plans</w:t>
            </w:r>
            <w:r w:rsidR="000C5834">
              <w:rPr>
                <w:sz w:val="22"/>
                <w:szCs w:val="22"/>
              </w:rPr>
              <w:t xml:space="preserve"> (EHCPs)</w:t>
            </w:r>
            <w:r w:rsidR="00B4653A" w:rsidRPr="00726F56">
              <w:rPr>
                <w:sz w:val="22"/>
                <w:szCs w:val="22"/>
              </w:rPr>
              <w:t xml:space="preserve"> </w:t>
            </w:r>
            <w:r w:rsidR="00481677">
              <w:rPr>
                <w:sz w:val="22"/>
                <w:szCs w:val="22"/>
              </w:rPr>
              <w:t xml:space="preserve">in a timely manner, </w:t>
            </w:r>
            <w:r w:rsidR="00B4653A" w:rsidRPr="00726F56">
              <w:rPr>
                <w:sz w:val="22"/>
                <w:szCs w:val="22"/>
              </w:rPr>
              <w:t xml:space="preserve">which meant that </w:t>
            </w:r>
            <w:r w:rsidR="00481677">
              <w:rPr>
                <w:sz w:val="22"/>
                <w:szCs w:val="22"/>
              </w:rPr>
              <w:t xml:space="preserve">the College could be criticised for not addressing targets in EHCPs </w:t>
            </w:r>
            <w:r w:rsidR="000C5834">
              <w:rPr>
                <w:sz w:val="22"/>
                <w:szCs w:val="22"/>
              </w:rPr>
              <w:t>even when these targets</w:t>
            </w:r>
            <w:r w:rsidR="00481677">
              <w:rPr>
                <w:sz w:val="22"/>
                <w:szCs w:val="22"/>
              </w:rPr>
              <w:t xml:space="preserve"> were out of date and therefore no longer appropriate. </w:t>
            </w:r>
          </w:p>
        </w:tc>
        <w:tc>
          <w:tcPr>
            <w:tcW w:w="1244" w:type="dxa"/>
          </w:tcPr>
          <w:p w:rsidR="00F62E59" w:rsidRPr="00726F56" w:rsidRDefault="00F62E59" w:rsidP="00726F56">
            <w:pPr>
              <w:pStyle w:val="NoSpacing"/>
              <w:jc w:val="both"/>
              <w:rPr>
                <w:b/>
                <w:sz w:val="22"/>
                <w:szCs w:val="22"/>
              </w:rPr>
            </w:pPr>
          </w:p>
        </w:tc>
      </w:tr>
      <w:tr w:rsidR="00471B5A" w:rsidRPr="00726F56" w:rsidTr="004562FD">
        <w:trPr>
          <w:jc w:val="center"/>
        </w:trPr>
        <w:tc>
          <w:tcPr>
            <w:tcW w:w="767" w:type="dxa"/>
          </w:tcPr>
          <w:p w:rsidR="00471B5A" w:rsidRPr="00726F56" w:rsidRDefault="00471B5A" w:rsidP="00726F56">
            <w:pPr>
              <w:jc w:val="both"/>
              <w:rPr>
                <w:b/>
                <w:sz w:val="22"/>
                <w:szCs w:val="22"/>
              </w:rPr>
            </w:pPr>
          </w:p>
        </w:tc>
        <w:tc>
          <w:tcPr>
            <w:tcW w:w="7027" w:type="dxa"/>
          </w:tcPr>
          <w:p w:rsidR="00471B5A" w:rsidRPr="00726F56" w:rsidRDefault="00471B5A" w:rsidP="00726F56">
            <w:pPr>
              <w:pStyle w:val="NormalWeb"/>
              <w:jc w:val="both"/>
              <w:rPr>
                <w:rFonts w:ascii="Arial" w:hAnsi="Arial" w:cs="Arial"/>
                <w:sz w:val="22"/>
                <w:szCs w:val="22"/>
              </w:rPr>
            </w:pPr>
          </w:p>
        </w:tc>
        <w:tc>
          <w:tcPr>
            <w:tcW w:w="1244" w:type="dxa"/>
          </w:tcPr>
          <w:p w:rsidR="00471B5A" w:rsidRPr="00726F56" w:rsidRDefault="00471B5A" w:rsidP="00726F56">
            <w:pPr>
              <w:pStyle w:val="NoSpacing"/>
              <w:jc w:val="both"/>
              <w:rPr>
                <w:b/>
                <w:sz w:val="22"/>
                <w:szCs w:val="22"/>
              </w:rPr>
            </w:pPr>
          </w:p>
        </w:tc>
      </w:tr>
      <w:tr w:rsidR="00471B5A" w:rsidRPr="00726F56" w:rsidTr="004562FD">
        <w:trPr>
          <w:jc w:val="center"/>
        </w:trPr>
        <w:tc>
          <w:tcPr>
            <w:tcW w:w="767" w:type="dxa"/>
          </w:tcPr>
          <w:p w:rsidR="00471B5A" w:rsidRPr="00726F56" w:rsidRDefault="00471B5A" w:rsidP="00726F56">
            <w:pPr>
              <w:jc w:val="both"/>
              <w:rPr>
                <w:b/>
                <w:sz w:val="22"/>
                <w:szCs w:val="22"/>
              </w:rPr>
            </w:pPr>
            <w:r w:rsidRPr="00726F56">
              <w:rPr>
                <w:b/>
                <w:sz w:val="22"/>
                <w:szCs w:val="22"/>
              </w:rPr>
              <w:t>iii)</w:t>
            </w:r>
          </w:p>
        </w:tc>
        <w:tc>
          <w:tcPr>
            <w:tcW w:w="7027" w:type="dxa"/>
          </w:tcPr>
          <w:p w:rsidR="00471B5A" w:rsidRPr="00726F56" w:rsidRDefault="00B24EFC" w:rsidP="00726F56">
            <w:pPr>
              <w:ind w:left="720" w:hanging="720"/>
              <w:jc w:val="both"/>
              <w:rPr>
                <w:b/>
                <w:bCs/>
                <w:sz w:val="22"/>
                <w:szCs w:val="22"/>
              </w:rPr>
            </w:pPr>
            <w:r w:rsidRPr="00726F56">
              <w:rPr>
                <w:rFonts w:eastAsiaTheme="minorHAnsi"/>
                <w:b/>
                <w:sz w:val="22"/>
                <w:szCs w:val="22"/>
              </w:rPr>
              <w:t>Follow up</w:t>
            </w:r>
          </w:p>
        </w:tc>
        <w:tc>
          <w:tcPr>
            <w:tcW w:w="1244" w:type="dxa"/>
          </w:tcPr>
          <w:p w:rsidR="00471B5A" w:rsidRPr="00726F56" w:rsidRDefault="00471B5A" w:rsidP="00726F56">
            <w:pPr>
              <w:pStyle w:val="NoSpacing"/>
              <w:jc w:val="both"/>
              <w:rPr>
                <w:b/>
                <w:sz w:val="22"/>
                <w:szCs w:val="22"/>
              </w:rPr>
            </w:pPr>
          </w:p>
        </w:tc>
      </w:tr>
      <w:tr w:rsidR="00471B5A" w:rsidRPr="00726F56" w:rsidTr="004562FD">
        <w:trPr>
          <w:jc w:val="center"/>
        </w:trPr>
        <w:tc>
          <w:tcPr>
            <w:tcW w:w="767" w:type="dxa"/>
          </w:tcPr>
          <w:p w:rsidR="00471B5A" w:rsidRPr="00726F56" w:rsidRDefault="00471B5A" w:rsidP="00726F56">
            <w:pPr>
              <w:jc w:val="both"/>
              <w:rPr>
                <w:b/>
                <w:sz w:val="22"/>
                <w:szCs w:val="22"/>
              </w:rPr>
            </w:pPr>
          </w:p>
        </w:tc>
        <w:tc>
          <w:tcPr>
            <w:tcW w:w="7027" w:type="dxa"/>
          </w:tcPr>
          <w:p w:rsidR="00471B5A" w:rsidRPr="00726F56" w:rsidRDefault="00B4653A" w:rsidP="00726F56">
            <w:pPr>
              <w:autoSpaceDE w:val="0"/>
              <w:autoSpaceDN w:val="0"/>
              <w:adjustRightInd w:val="0"/>
              <w:jc w:val="both"/>
              <w:rPr>
                <w:rFonts w:eastAsiaTheme="minorHAnsi"/>
                <w:b/>
                <w:bCs/>
                <w:sz w:val="22"/>
                <w:szCs w:val="22"/>
              </w:rPr>
            </w:pPr>
            <w:r w:rsidRPr="00726F56">
              <w:rPr>
                <w:sz w:val="22"/>
                <w:szCs w:val="22"/>
              </w:rPr>
              <w:t>The Director</w:t>
            </w:r>
            <w:r w:rsidRPr="00726F56">
              <w:rPr>
                <w:bCs/>
                <w:sz w:val="22"/>
                <w:szCs w:val="22"/>
              </w:rPr>
              <w:t>, RSM Risk Assurance Services LLP</w:t>
            </w:r>
            <w:r w:rsidRPr="00726F56">
              <w:rPr>
                <w:sz w:val="22"/>
                <w:szCs w:val="22"/>
              </w:rPr>
              <w:t xml:space="preserve"> reported that</w:t>
            </w:r>
            <w:r w:rsidRPr="00726F56">
              <w:rPr>
                <w:rFonts w:eastAsiaTheme="minorHAnsi"/>
                <w:sz w:val="22"/>
                <w:szCs w:val="22"/>
              </w:rPr>
              <w:t xml:space="preserve"> </w:t>
            </w:r>
            <w:r w:rsidR="00B24EFC" w:rsidRPr="00726F56">
              <w:rPr>
                <w:rFonts w:eastAsiaTheme="minorHAnsi"/>
                <w:sz w:val="22"/>
                <w:szCs w:val="22"/>
              </w:rPr>
              <w:t>Good progress was being made in following up previous management actions.</w:t>
            </w:r>
            <w:r w:rsidRPr="00726F56">
              <w:rPr>
                <w:rFonts w:eastAsiaTheme="minorHAnsi"/>
                <w:sz w:val="22"/>
                <w:szCs w:val="22"/>
              </w:rPr>
              <w:t xml:space="preserve"> This was the best outcome statement available.  18 of 21 actions had been completed in full, 2 were in progress and 1 had been superseded.</w:t>
            </w:r>
          </w:p>
        </w:tc>
        <w:tc>
          <w:tcPr>
            <w:tcW w:w="1244" w:type="dxa"/>
          </w:tcPr>
          <w:p w:rsidR="00471B5A" w:rsidRPr="00726F56" w:rsidRDefault="00471B5A" w:rsidP="00726F56">
            <w:pPr>
              <w:pStyle w:val="NoSpacing"/>
              <w:jc w:val="both"/>
              <w:rPr>
                <w:b/>
                <w:sz w:val="22"/>
                <w:szCs w:val="22"/>
              </w:rPr>
            </w:pPr>
          </w:p>
        </w:tc>
      </w:tr>
      <w:tr w:rsidR="00471B5A" w:rsidRPr="00726F56" w:rsidTr="004562FD">
        <w:trPr>
          <w:jc w:val="center"/>
        </w:trPr>
        <w:tc>
          <w:tcPr>
            <w:tcW w:w="767" w:type="dxa"/>
          </w:tcPr>
          <w:p w:rsidR="00471B5A" w:rsidRPr="00726F56" w:rsidRDefault="00471B5A" w:rsidP="00726F56">
            <w:pPr>
              <w:jc w:val="both"/>
              <w:rPr>
                <w:b/>
                <w:sz w:val="22"/>
                <w:szCs w:val="22"/>
              </w:rPr>
            </w:pPr>
          </w:p>
        </w:tc>
        <w:tc>
          <w:tcPr>
            <w:tcW w:w="7027" w:type="dxa"/>
          </w:tcPr>
          <w:p w:rsidR="00471B5A" w:rsidRPr="00726F56" w:rsidRDefault="00471B5A" w:rsidP="00726F56">
            <w:pPr>
              <w:pStyle w:val="Heading2"/>
              <w:jc w:val="both"/>
              <w:outlineLvl w:val="1"/>
              <w:rPr>
                <w:rFonts w:ascii="Arial" w:eastAsiaTheme="minorHAnsi" w:hAnsi="Arial" w:cs="Arial"/>
                <w:b w:val="0"/>
                <w:bCs/>
                <w:color w:val="000000"/>
                <w:sz w:val="22"/>
                <w:szCs w:val="22"/>
              </w:rPr>
            </w:pPr>
          </w:p>
        </w:tc>
        <w:tc>
          <w:tcPr>
            <w:tcW w:w="1244" w:type="dxa"/>
          </w:tcPr>
          <w:p w:rsidR="00471B5A" w:rsidRPr="00726F56" w:rsidRDefault="00471B5A" w:rsidP="00726F56">
            <w:pPr>
              <w:pStyle w:val="NoSpacing"/>
              <w:jc w:val="both"/>
              <w:rPr>
                <w:b/>
                <w:sz w:val="22"/>
                <w:szCs w:val="22"/>
              </w:rPr>
            </w:pPr>
          </w:p>
        </w:tc>
      </w:tr>
      <w:tr w:rsidR="00B24EFC" w:rsidRPr="00726F56" w:rsidTr="004562FD">
        <w:trPr>
          <w:jc w:val="center"/>
        </w:trPr>
        <w:tc>
          <w:tcPr>
            <w:tcW w:w="767" w:type="dxa"/>
          </w:tcPr>
          <w:p w:rsidR="00B24EFC" w:rsidRPr="00726F56" w:rsidRDefault="00B24EFC" w:rsidP="00726F56">
            <w:pPr>
              <w:jc w:val="both"/>
              <w:rPr>
                <w:b/>
                <w:sz w:val="22"/>
                <w:szCs w:val="22"/>
              </w:rPr>
            </w:pPr>
            <w:r w:rsidRPr="00726F56">
              <w:rPr>
                <w:b/>
                <w:sz w:val="22"/>
                <w:szCs w:val="22"/>
              </w:rPr>
              <w:t>iv)</w:t>
            </w:r>
          </w:p>
        </w:tc>
        <w:tc>
          <w:tcPr>
            <w:tcW w:w="7027" w:type="dxa"/>
          </w:tcPr>
          <w:p w:rsidR="00B24EFC" w:rsidRPr="00726F56" w:rsidRDefault="00B24EFC" w:rsidP="00726F56">
            <w:pPr>
              <w:autoSpaceDE w:val="0"/>
              <w:autoSpaceDN w:val="0"/>
              <w:adjustRightInd w:val="0"/>
              <w:jc w:val="both"/>
              <w:rPr>
                <w:rFonts w:eastAsiaTheme="minorHAnsi"/>
                <w:b/>
                <w:bCs/>
                <w:color w:val="000000"/>
                <w:sz w:val="22"/>
                <w:szCs w:val="22"/>
              </w:rPr>
            </w:pPr>
            <w:r w:rsidRPr="00726F56">
              <w:rPr>
                <w:rFonts w:eastAsiaTheme="minorHAnsi"/>
                <w:b/>
                <w:sz w:val="22"/>
                <w:szCs w:val="22"/>
              </w:rPr>
              <w:t>Student Support Arrangements</w:t>
            </w:r>
          </w:p>
        </w:tc>
        <w:tc>
          <w:tcPr>
            <w:tcW w:w="1244" w:type="dxa"/>
          </w:tcPr>
          <w:p w:rsidR="00B24EFC" w:rsidRPr="00726F56" w:rsidRDefault="00B24EFC" w:rsidP="00726F56">
            <w:pPr>
              <w:pStyle w:val="NoSpacing"/>
              <w:jc w:val="both"/>
              <w:rPr>
                <w:b/>
                <w:sz w:val="22"/>
                <w:szCs w:val="22"/>
              </w:rPr>
            </w:pPr>
          </w:p>
        </w:tc>
      </w:tr>
      <w:tr w:rsidR="00B24EFC" w:rsidRPr="00726F56" w:rsidTr="004562FD">
        <w:trPr>
          <w:jc w:val="center"/>
        </w:trPr>
        <w:tc>
          <w:tcPr>
            <w:tcW w:w="767" w:type="dxa"/>
          </w:tcPr>
          <w:p w:rsidR="00B24EFC" w:rsidRPr="00726F56" w:rsidRDefault="00B24EFC" w:rsidP="00726F56">
            <w:pPr>
              <w:jc w:val="both"/>
              <w:rPr>
                <w:b/>
                <w:sz w:val="22"/>
                <w:szCs w:val="22"/>
              </w:rPr>
            </w:pPr>
          </w:p>
        </w:tc>
        <w:tc>
          <w:tcPr>
            <w:tcW w:w="7027" w:type="dxa"/>
          </w:tcPr>
          <w:p w:rsidR="00B24EFC" w:rsidRPr="00726F56" w:rsidRDefault="00B4653A" w:rsidP="00726F56">
            <w:pPr>
              <w:autoSpaceDE w:val="0"/>
              <w:autoSpaceDN w:val="0"/>
              <w:adjustRightInd w:val="0"/>
              <w:jc w:val="both"/>
              <w:rPr>
                <w:rFonts w:eastAsiaTheme="minorHAnsi"/>
                <w:b/>
                <w:bCs/>
                <w:color w:val="000000"/>
                <w:sz w:val="22"/>
                <w:szCs w:val="22"/>
              </w:rPr>
            </w:pPr>
            <w:r w:rsidRPr="00726F56">
              <w:rPr>
                <w:sz w:val="22"/>
                <w:szCs w:val="22"/>
              </w:rPr>
              <w:t>The Director</w:t>
            </w:r>
            <w:r w:rsidRPr="00726F56">
              <w:rPr>
                <w:bCs/>
                <w:sz w:val="22"/>
                <w:szCs w:val="22"/>
              </w:rPr>
              <w:t>, RSM Risk Assurance Services LLP</w:t>
            </w:r>
            <w:r w:rsidRPr="00726F56">
              <w:rPr>
                <w:sz w:val="22"/>
                <w:szCs w:val="22"/>
              </w:rPr>
              <w:t xml:space="preserve"> reported that</w:t>
            </w:r>
            <w:r w:rsidRPr="00726F56">
              <w:rPr>
                <w:bCs/>
                <w:color w:val="000000"/>
                <w:sz w:val="22"/>
                <w:szCs w:val="22"/>
              </w:rPr>
              <w:t xml:space="preserve"> t</w:t>
            </w:r>
            <w:r w:rsidR="00B24EFC" w:rsidRPr="00726F56">
              <w:rPr>
                <w:bCs/>
                <w:color w:val="000000"/>
                <w:sz w:val="22"/>
                <w:szCs w:val="22"/>
              </w:rPr>
              <w:t>here were no agreed management actions</w:t>
            </w:r>
            <w:r w:rsidRPr="00726F56">
              <w:rPr>
                <w:bCs/>
                <w:color w:val="000000"/>
                <w:sz w:val="22"/>
                <w:szCs w:val="22"/>
              </w:rPr>
              <w:t>, which was incredibly rare</w:t>
            </w:r>
            <w:r w:rsidR="00B24EFC" w:rsidRPr="00726F56">
              <w:rPr>
                <w:sz w:val="22"/>
                <w:szCs w:val="22"/>
              </w:rPr>
              <w:t xml:space="preserve">.  The Internal Audit Opinion was that the area provided Substantial </w:t>
            </w:r>
            <w:r w:rsidR="00B24EFC" w:rsidRPr="00726F56">
              <w:rPr>
                <w:sz w:val="22"/>
                <w:szCs w:val="22"/>
              </w:rPr>
              <w:lastRenderedPageBreak/>
              <w:t xml:space="preserve">Assurance (green) to the College.  </w:t>
            </w:r>
            <w:r w:rsidRPr="00726F56">
              <w:rPr>
                <w:sz w:val="22"/>
                <w:szCs w:val="22"/>
              </w:rPr>
              <w:t xml:space="preserve">The Safeguarding Governor felt that her role was more extensive than the report conveyed.  </w:t>
            </w:r>
          </w:p>
        </w:tc>
        <w:tc>
          <w:tcPr>
            <w:tcW w:w="1244" w:type="dxa"/>
          </w:tcPr>
          <w:p w:rsidR="00B24EFC" w:rsidRPr="00726F56" w:rsidRDefault="00B24EFC" w:rsidP="00726F56">
            <w:pPr>
              <w:pStyle w:val="NoSpacing"/>
              <w:jc w:val="both"/>
              <w:rPr>
                <w:b/>
                <w:sz w:val="22"/>
                <w:szCs w:val="22"/>
              </w:rPr>
            </w:pPr>
          </w:p>
        </w:tc>
      </w:tr>
      <w:tr w:rsidR="00B24EFC" w:rsidRPr="00726F56" w:rsidTr="004562FD">
        <w:trPr>
          <w:jc w:val="center"/>
        </w:trPr>
        <w:tc>
          <w:tcPr>
            <w:tcW w:w="767" w:type="dxa"/>
          </w:tcPr>
          <w:p w:rsidR="00B24EFC" w:rsidRPr="00726F56" w:rsidRDefault="00B24EFC" w:rsidP="00726F56">
            <w:pPr>
              <w:jc w:val="both"/>
              <w:rPr>
                <w:b/>
                <w:sz w:val="22"/>
                <w:szCs w:val="22"/>
              </w:rPr>
            </w:pPr>
          </w:p>
        </w:tc>
        <w:tc>
          <w:tcPr>
            <w:tcW w:w="7027" w:type="dxa"/>
          </w:tcPr>
          <w:p w:rsidR="00B24EFC" w:rsidRPr="00726F56" w:rsidRDefault="00B24EFC" w:rsidP="00726F56">
            <w:pPr>
              <w:autoSpaceDE w:val="0"/>
              <w:autoSpaceDN w:val="0"/>
              <w:adjustRightInd w:val="0"/>
              <w:jc w:val="both"/>
              <w:rPr>
                <w:bCs/>
                <w:color w:val="000000"/>
                <w:sz w:val="22"/>
                <w:szCs w:val="22"/>
              </w:rPr>
            </w:pPr>
          </w:p>
        </w:tc>
        <w:tc>
          <w:tcPr>
            <w:tcW w:w="1244" w:type="dxa"/>
          </w:tcPr>
          <w:p w:rsidR="00B24EFC" w:rsidRPr="00726F56" w:rsidRDefault="00B24EFC" w:rsidP="00726F56">
            <w:pPr>
              <w:pStyle w:val="NoSpacing"/>
              <w:jc w:val="both"/>
              <w:rPr>
                <w:b/>
                <w:sz w:val="22"/>
                <w:szCs w:val="22"/>
              </w:rPr>
            </w:pPr>
          </w:p>
        </w:tc>
      </w:tr>
      <w:tr w:rsidR="00B24EFC" w:rsidRPr="00726F56" w:rsidTr="004562FD">
        <w:trPr>
          <w:jc w:val="center"/>
        </w:trPr>
        <w:tc>
          <w:tcPr>
            <w:tcW w:w="767" w:type="dxa"/>
          </w:tcPr>
          <w:p w:rsidR="00B24EFC" w:rsidRPr="00726F56" w:rsidRDefault="00B24EFC" w:rsidP="00726F56">
            <w:pPr>
              <w:jc w:val="both"/>
              <w:rPr>
                <w:b/>
                <w:sz w:val="22"/>
                <w:szCs w:val="22"/>
              </w:rPr>
            </w:pPr>
            <w:r w:rsidRPr="00726F56">
              <w:rPr>
                <w:b/>
                <w:sz w:val="22"/>
                <w:szCs w:val="22"/>
              </w:rPr>
              <w:t>v)</w:t>
            </w:r>
          </w:p>
        </w:tc>
        <w:tc>
          <w:tcPr>
            <w:tcW w:w="7027" w:type="dxa"/>
          </w:tcPr>
          <w:p w:rsidR="00B24EFC" w:rsidRPr="00726F56" w:rsidRDefault="00B24EFC" w:rsidP="00726F56">
            <w:pPr>
              <w:autoSpaceDE w:val="0"/>
              <w:autoSpaceDN w:val="0"/>
              <w:adjustRightInd w:val="0"/>
              <w:jc w:val="both"/>
              <w:rPr>
                <w:rFonts w:eastAsiaTheme="minorHAnsi"/>
                <w:b/>
                <w:sz w:val="22"/>
                <w:szCs w:val="22"/>
              </w:rPr>
            </w:pPr>
            <w:r w:rsidRPr="00726F56">
              <w:rPr>
                <w:rFonts w:eastAsiaTheme="minorHAnsi"/>
                <w:b/>
                <w:sz w:val="22"/>
                <w:szCs w:val="22"/>
              </w:rPr>
              <w:t>Higher Education Framework</w:t>
            </w:r>
          </w:p>
        </w:tc>
        <w:tc>
          <w:tcPr>
            <w:tcW w:w="1244" w:type="dxa"/>
          </w:tcPr>
          <w:p w:rsidR="00B24EFC" w:rsidRPr="00726F56" w:rsidRDefault="00B24EFC" w:rsidP="00726F56">
            <w:pPr>
              <w:pStyle w:val="NoSpacing"/>
              <w:jc w:val="both"/>
              <w:rPr>
                <w:b/>
                <w:sz w:val="22"/>
                <w:szCs w:val="22"/>
              </w:rPr>
            </w:pPr>
          </w:p>
        </w:tc>
      </w:tr>
      <w:tr w:rsidR="00B24EFC" w:rsidRPr="00726F56" w:rsidTr="0084521C">
        <w:trPr>
          <w:trHeight w:val="1024"/>
          <w:jc w:val="center"/>
        </w:trPr>
        <w:tc>
          <w:tcPr>
            <w:tcW w:w="767" w:type="dxa"/>
          </w:tcPr>
          <w:p w:rsidR="00B24EFC" w:rsidRPr="00726F56" w:rsidRDefault="00B24EFC" w:rsidP="00726F56">
            <w:pPr>
              <w:jc w:val="both"/>
              <w:rPr>
                <w:b/>
                <w:sz w:val="22"/>
                <w:szCs w:val="22"/>
              </w:rPr>
            </w:pPr>
          </w:p>
        </w:tc>
        <w:tc>
          <w:tcPr>
            <w:tcW w:w="7027" w:type="dxa"/>
          </w:tcPr>
          <w:p w:rsidR="00B24EFC" w:rsidRPr="00726F56" w:rsidRDefault="0084521C" w:rsidP="00726F56">
            <w:pPr>
              <w:autoSpaceDE w:val="0"/>
              <w:autoSpaceDN w:val="0"/>
              <w:adjustRightInd w:val="0"/>
              <w:jc w:val="both"/>
              <w:rPr>
                <w:b/>
                <w:sz w:val="22"/>
                <w:szCs w:val="22"/>
              </w:rPr>
            </w:pPr>
            <w:r w:rsidRPr="00726F56">
              <w:rPr>
                <w:sz w:val="22"/>
                <w:szCs w:val="22"/>
              </w:rPr>
              <w:t>The Director</w:t>
            </w:r>
            <w:r w:rsidRPr="00726F56">
              <w:rPr>
                <w:bCs/>
                <w:sz w:val="22"/>
                <w:szCs w:val="22"/>
              </w:rPr>
              <w:t>, RSM Risk Assurance Services LLP</w:t>
            </w:r>
            <w:r w:rsidRPr="00726F56">
              <w:rPr>
                <w:sz w:val="22"/>
                <w:szCs w:val="22"/>
              </w:rPr>
              <w:t xml:space="preserve"> reported that t</w:t>
            </w:r>
            <w:r w:rsidR="00B24EFC" w:rsidRPr="00726F56">
              <w:rPr>
                <w:bCs/>
                <w:color w:val="000000"/>
                <w:sz w:val="22"/>
                <w:szCs w:val="22"/>
              </w:rPr>
              <w:t xml:space="preserve">here were </w:t>
            </w:r>
            <w:r w:rsidR="00B24EFC" w:rsidRPr="00726F56">
              <w:rPr>
                <w:rFonts w:eastAsiaTheme="minorHAnsi"/>
                <w:sz w:val="22"/>
                <w:szCs w:val="22"/>
              </w:rPr>
              <w:t xml:space="preserve">4 medium and 1 low </w:t>
            </w:r>
            <w:r w:rsidR="00B24EFC" w:rsidRPr="00726F56">
              <w:rPr>
                <w:bCs/>
                <w:sz w:val="22"/>
                <w:szCs w:val="22"/>
              </w:rPr>
              <w:t xml:space="preserve">priority </w:t>
            </w:r>
            <w:r w:rsidR="00B24EFC" w:rsidRPr="00726F56">
              <w:rPr>
                <w:bCs/>
                <w:color w:val="000000"/>
                <w:sz w:val="22"/>
                <w:szCs w:val="22"/>
              </w:rPr>
              <w:t>agreed management actions</w:t>
            </w:r>
            <w:r w:rsidR="00B24EFC" w:rsidRPr="00726F56">
              <w:rPr>
                <w:sz w:val="22"/>
                <w:szCs w:val="22"/>
              </w:rPr>
              <w:t xml:space="preserve">.  The Internal Audit Opinion was that the area provided </w:t>
            </w:r>
            <w:r w:rsidR="00B24EFC" w:rsidRPr="00726F56">
              <w:rPr>
                <w:rFonts w:eastAsiaTheme="minorHAnsi"/>
                <w:sz w:val="22"/>
                <w:szCs w:val="22"/>
              </w:rPr>
              <w:t xml:space="preserve">Reasonable </w:t>
            </w:r>
            <w:r w:rsidR="00B24EFC" w:rsidRPr="00726F56">
              <w:rPr>
                <w:sz w:val="22"/>
                <w:szCs w:val="22"/>
              </w:rPr>
              <w:t>Assurance (amber</w:t>
            </w:r>
            <w:r w:rsidRPr="00726F56">
              <w:rPr>
                <w:sz w:val="22"/>
                <w:szCs w:val="22"/>
              </w:rPr>
              <w:t>/green</w:t>
            </w:r>
            <w:r w:rsidR="00B24EFC" w:rsidRPr="00726F56">
              <w:rPr>
                <w:sz w:val="22"/>
                <w:szCs w:val="22"/>
              </w:rPr>
              <w:t>) to the College</w:t>
            </w:r>
            <w:r w:rsidRPr="00726F56">
              <w:rPr>
                <w:sz w:val="22"/>
                <w:szCs w:val="22"/>
              </w:rPr>
              <w:t xml:space="preserve">.  Further details were provided of the medium priority actions which related to compliance with Competition and Markets </w:t>
            </w:r>
            <w:r w:rsidR="00726F56" w:rsidRPr="00726F56">
              <w:rPr>
                <w:sz w:val="22"/>
                <w:szCs w:val="22"/>
              </w:rPr>
              <w:t>Authority</w:t>
            </w:r>
            <w:r w:rsidRPr="00726F56">
              <w:rPr>
                <w:sz w:val="22"/>
                <w:szCs w:val="22"/>
              </w:rPr>
              <w:t xml:space="preserve"> and Student Loans Company requirements.</w:t>
            </w:r>
          </w:p>
        </w:tc>
        <w:tc>
          <w:tcPr>
            <w:tcW w:w="1244" w:type="dxa"/>
          </w:tcPr>
          <w:p w:rsidR="00B24EFC" w:rsidRPr="00726F56" w:rsidRDefault="00B24EFC" w:rsidP="00726F56">
            <w:pPr>
              <w:pStyle w:val="NoSpacing"/>
              <w:jc w:val="both"/>
              <w:rPr>
                <w:b/>
                <w:sz w:val="22"/>
                <w:szCs w:val="22"/>
              </w:rPr>
            </w:pPr>
          </w:p>
        </w:tc>
      </w:tr>
      <w:tr w:rsidR="00B24EFC" w:rsidRPr="00726F56" w:rsidTr="00B24EFC">
        <w:trPr>
          <w:trHeight w:val="168"/>
          <w:jc w:val="center"/>
        </w:trPr>
        <w:tc>
          <w:tcPr>
            <w:tcW w:w="767" w:type="dxa"/>
          </w:tcPr>
          <w:p w:rsidR="00B24EFC" w:rsidRPr="00726F56" w:rsidRDefault="00B24EFC" w:rsidP="00726F56">
            <w:pPr>
              <w:jc w:val="both"/>
              <w:rPr>
                <w:b/>
                <w:sz w:val="22"/>
                <w:szCs w:val="22"/>
              </w:rPr>
            </w:pPr>
          </w:p>
        </w:tc>
        <w:tc>
          <w:tcPr>
            <w:tcW w:w="7027" w:type="dxa"/>
          </w:tcPr>
          <w:p w:rsidR="00B24EFC" w:rsidRPr="00726F56" w:rsidRDefault="00B24EFC" w:rsidP="00726F56">
            <w:pPr>
              <w:autoSpaceDE w:val="0"/>
              <w:autoSpaceDN w:val="0"/>
              <w:adjustRightInd w:val="0"/>
              <w:jc w:val="both"/>
              <w:rPr>
                <w:bCs/>
                <w:color w:val="000000"/>
                <w:sz w:val="22"/>
                <w:szCs w:val="22"/>
              </w:rPr>
            </w:pPr>
          </w:p>
        </w:tc>
        <w:tc>
          <w:tcPr>
            <w:tcW w:w="1244" w:type="dxa"/>
          </w:tcPr>
          <w:p w:rsidR="00B24EFC" w:rsidRPr="00726F56" w:rsidRDefault="00B24EFC" w:rsidP="00726F56">
            <w:pPr>
              <w:pStyle w:val="NoSpacing"/>
              <w:jc w:val="both"/>
              <w:rPr>
                <w:b/>
                <w:sz w:val="22"/>
                <w:szCs w:val="22"/>
              </w:rPr>
            </w:pPr>
          </w:p>
        </w:tc>
      </w:tr>
      <w:tr w:rsidR="00B24EFC" w:rsidRPr="00726F56" w:rsidTr="00B24EFC">
        <w:trPr>
          <w:trHeight w:val="168"/>
          <w:jc w:val="center"/>
        </w:trPr>
        <w:tc>
          <w:tcPr>
            <w:tcW w:w="767" w:type="dxa"/>
          </w:tcPr>
          <w:p w:rsidR="00B24EFC" w:rsidRPr="00726F56" w:rsidRDefault="00B24EFC" w:rsidP="00726F56">
            <w:pPr>
              <w:jc w:val="both"/>
              <w:rPr>
                <w:b/>
                <w:sz w:val="22"/>
                <w:szCs w:val="22"/>
              </w:rPr>
            </w:pPr>
            <w:r w:rsidRPr="00726F56">
              <w:rPr>
                <w:b/>
                <w:sz w:val="22"/>
                <w:szCs w:val="22"/>
              </w:rPr>
              <w:t>vi)</w:t>
            </w:r>
          </w:p>
        </w:tc>
        <w:tc>
          <w:tcPr>
            <w:tcW w:w="7027" w:type="dxa"/>
          </w:tcPr>
          <w:p w:rsidR="00B24EFC" w:rsidRPr="00726F56" w:rsidRDefault="00B24EFC" w:rsidP="00726F56">
            <w:pPr>
              <w:jc w:val="both"/>
              <w:rPr>
                <w:sz w:val="22"/>
                <w:szCs w:val="22"/>
              </w:rPr>
            </w:pPr>
            <w:r w:rsidRPr="00726F56">
              <w:rPr>
                <w:bCs/>
                <w:sz w:val="22"/>
                <w:szCs w:val="22"/>
              </w:rPr>
              <w:t xml:space="preserve">The Audit Committee </w:t>
            </w:r>
            <w:r w:rsidRPr="00726F56">
              <w:rPr>
                <w:b/>
                <w:bCs/>
                <w:sz w:val="22"/>
                <w:szCs w:val="22"/>
              </w:rPr>
              <w:t>NOTED</w:t>
            </w:r>
            <w:r w:rsidRPr="00726F56">
              <w:rPr>
                <w:bCs/>
                <w:sz w:val="22"/>
                <w:szCs w:val="22"/>
              </w:rPr>
              <w:t xml:space="preserve"> the Internal Audit Progress Report and </w:t>
            </w:r>
            <w:r w:rsidRPr="00726F56">
              <w:rPr>
                <w:b/>
                <w:bCs/>
                <w:sz w:val="22"/>
                <w:szCs w:val="22"/>
              </w:rPr>
              <w:t>AGREED</w:t>
            </w:r>
            <w:r w:rsidRPr="00726F56">
              <w:rPr>
                <w:b/>
                <w:sz w:val="22"/>
                <w:szCs w:val="22"/>
              </w:rPr>
              <w:t xml:space="preserve"> TO ADVISE</w:t>
            </w:r>
            <w:r w:rsidRPr="00726F56">
              <w:rPr>
                <w:sz w:val="22"/>
                <w:szCs w:val="22"/>
              </w:rPr>
              <w:t xml:space="preserve"> the Corporation that:</w:t>
            </w:r>
          </w:p>
          <w:p w:rsidR="00B24EFC" w:rsidRPr="00726F56" w:rsidRDefault="0084521C" w:rsidP="00726F56">
            <w:pPr>
              <w:numPr>
                <w:ilvl w:val="0"/>
                <w:numId w:val="10"/>
              </w:numPr>
              <w:contextualSpacing/>
              <w:jc w:val="both"/>
              <w:rPr>
                <w:sz w:val="22"/>
                <w:szCs w:val="22"/>
                <w:lang w:eastAsia="en-US"/>
              </w:rPr>
            </w:pPr>
            <w:r w:rsidRPr="00726F56">
              <w:rPr>
                <w:rFonts w:eastAsiaTheme="minorHAnsi"/>
                <w:sz w:val="22"/>
                <w:szCs w:val="22"/>
              </w:rPr>
              <w:t xml:space="preserve">The </w:t>
            </w:r>
            <w:r w:rsidR="00B24EFC" w:rsidRPr="00726F56">
              <w:rPr>
                <w:rFonts w:eastAsiaTheme="minorHAnsi"/>
                <w:sz w:val="22"/>
                <w:szCs w:val="22"/>
              </w:rPr>
              <w:t>Learner Number Systems: Compliance Testing</w:t>
            </w:r>
            <w:r w:rsidRPr="00726F56">
              <w:rPr>
                <w:rFonts w:eastAsiaTheme="minorHAnsi"/>
                <w:sz w:val="22"/>
                <w:szCs w:val="22"/>
              </w:rPr>
              <w:t xml:space="preserve"> Report</w:t>
            </w:r>
            <w:r w:rsidR="00B24EFC" w:rsidRPr="00726F56">
              <w:rPr>
                <w:sz w:val="22"/>
                <w:szCs w:val="22"/>
                <w:lang w:eastAsia="en-US"/>
              </w:rPr>
              <w:t xml:space="preserve"> was an advisory review so had no overall assurance level, with </w:t>
            </w:r>
            <w:r w:rsidR="00B24EFC" w:rsidRPr="00726F56">
              <w:rPr>
                <w:rFonts w:eastAsiaTheme="minorHAnsi"/>
                <w:sz w:val="22"/>
                <w:szCs w:val="22"/>
              </w:rPr>
              <w:t>6 low, 4 medium and 1 high priority agreed management actions</w:t>
            </w:r>
            <w:r w:rsidR="00B24EFC" w:rsidRPr="00726F56">
              <w:rPr>
                <w:sz w:val="22"/>
                <w:szCs w:val="22"/>
                <w:lang w:eastAsia="en-US"/>
              </w:rPr>
              <w:t xml:space="preserve"> </w:t>
            </w:r>
          </w:p>
          <w:p w:rsidR="00B24EFC" w:rsidRPr="00726F56" w:rsidRDefault="006E56A5" w:rsidP="00726F56">
            <w:pPr>
              <w:numPr>
                <w:ilvl w:val="0"/>
                <w:numId w:val="10"/>
              </w:numPr>
              <w:contextualSpacing/>
              <w:jc w:val="both"/>
              <w:rPr>
                <w:sz w:val="22"/>
                <w:szCs w:val="22"/>
                <w:lang w:eastAsia="en-US"/>
              </w:rPr>
            </w:pPr>
            <w:r w:rsidRPr="00726F56">
              <w:rPr>
                <w:rFonts w:eastAsiaTheme="minorHAnsi"/>
                <w:sz w:val="22"/>
                <w:szCs w:val="22"/>
              </w:rPr>
              <w:t xml:space="preserve">The </w:t>
            </w:r>
            <w:r w:rsidR="0084521C" w:rsidRPr="00726F56">
              <w:rPr>
                <w:rFonts w:eastAsiaTheme="minorHAnsi"/>
                <w:sz w:val="22"/>
                <w:szCs w:val="22"/>
              </w:rPr>
              <w:t>Follow U</w:t>
            </w:r>
            <w:r w:rsidR="00B24EFC" w:rsidRPr="00726F56">
              <w:rPr>
                <w:rFonts w:eastAsiaTheme="minorHAnsi"/>
                <w:sz w:val="22"/>
                <w:szCs w:val="22"/>
              </w:rPr>
              <w:t>p</w:t>
            </w:r>
            <w:r w:rsidRPr="00726F56">
              <w:rPr>
                <w:rFonts w:eastAsiaTheme="minorHAnsi"/>
                <w:sz w:val="22"/>
                <w:szCs w:val="22"/>
              </w:rPr>
              <w:t xml:space="preserve"> </w:t>
            </w:r>
            <w:r w:rsidR="0084521C" w:rsidRPr="00726F56">
              <w:rPr>
                <w:rFonts w:eastAsiaTheme="minorHAnsi"/>
                <w:sz w:val="22"/>
                <w:szCs w:val="22"/>
              </w:rPr>
              <w:t xml:space="preserve">Report </w:t>
            </w:r>
            <w:r w:rsidRPr="00726F56">
              <w:rPr>
                <w:rFonts w:eastAsiaTheme="minorHAnsi"/>
                <w:sz w:val="22"/>
                <w:szCs w:val="22"/>
              </w:rPr>
              <w:t>showed that Good Progress was being made to implement agreed actions</w:t>
            </w:r>
          </w:p>
          <w:p w:rsidR="006E56A5" w:rsidRPr="00726F56" w:rsidRDefault="0084521C" w:rsidP="00726F56">
            <w:pPr>
              <w:pStyle w:val="ListParagraph"/>
              <w:numPr>
                <w:ilvl w:val="0"/>
                <w:numId w:val="10"/>
              </w:numPr>
              <w:autoSpaceDE w:val="0"/>
              <w:autoSpaceDN w:val="0"/>
              <w:adjustRightInd w:val="0"/>
              <w:jc w:val="both"/>
              <w:rPr>
                <w:sz w:val="22"/>
                <w:szCs w:val="22"/>
              </w:rPr>
            </w:pPr>
            <w:r w:rsidRPr="00726F56">
              <w:rPr>
                <w:rFonts w:eastAsiaTheme="minorHAnsi"/>
                <w:sz w:val="22"/>
                <w:szCs w:val="22"/>
              </w:rPr>
              <w:t xml:space="preserve">The </w:t>
            </w:r>
            <w:r w:rsidR="006E56A5" w:rsidRPr="00726F56">
              <w:rPr>
                <w:rFonts w:eastAsiaTheme="minorHAnsi"/>
                <w:sz w:val="22"/>
                <w:szCs w:val="22"/>
              </w:rPr>
              <w:t>Student Support Arrangements</w:t>
            </w:r>
            <w:r w:rsidRPr="00726F56">
              <w:rPr>
                <w:rFonts w:eastAsiaTheme="minorHAnsi"/>
                <w:sz w:val="22"/>
                <w:szCs w:val="22"/>
              </w:rPr>
              <w:t xml:space="preserve"> Report</w:t>
            </w:r>
            <w:r w:rsidR="006E56A5" w:rsidRPr="00726F56">
              <w:rPr>
                <w:rFonts w:eastAsiaTheme="minorHAnsi"/>
                <w:sz w:val="22"/>
                <w:szCs w:val="22"/>
              </w:rPr>
              <w:t xml:space="preserve"> </w:t>
            </w:r>
            <w:r w:rsidR="006E56A5" w:rsidRPr="00726F56">
              <w:rPr>
                <w:sz w:val="22"/>
                <w:szCs w:val="22"/>
              </w:rPr>
              <w:t>provided Substantial Assurance</w:t>
            </w:r>
            <w:r w:rsidR="006E56A5" w:rsidRPr="00726F56">
              <w:rPr>
                <w:bCs/>
                <w:color w:val="000000"/>
                <w:sz w:val="22"/>
                <w:szCs w:val="22"/>
              </w:rPr>
              <w:t xml:space="preserve"> with no agreed management actions</w:t>
            </w:r>
            <w:r w:rsidRPr="00726F56">
              <w:rPr>
                <w:bCs/>
                <w:color w:val="000000"/>
                <w:sz w:val="22"/>
                <w:szCs w:val="22"/>
              </w:rPr>
              <w:t>, which was rare</w:t>
            </w:r>
            <w:r w:rsidR="006E56A5" w:rsidRPr="00726F56">
              <w:rPr>
                <w:sz w:val="22"/>
                <w:szCs w:val="22"/>
              </w:rPr>
              <w:t xml:space="preserve">.  </w:t>
            </w:r>
          </w:p>
          <w:p w:rsidR="006E56A5" w:rsidRPr="00726F56" w:rsidRDefault="0084521C" w:rsidP="00726F56">
            <w:pPr>
              <w:pStyle w:val="ListParagraph"/>
              <w:numPr>
                <w:ilvl w:val="0"/>
                <w:numId w:val="10"/>
              </w:numPr>
              <w:autoSpaceDE w:val="0"/>
              <w:autoSpaceDN w:val="0"/>
              <w:adjustRightInd w:val="0"/>
              <w:jc w:val="both"/>
              <w:rPr>
                <w:sz w:val="22"/>
                <w:szCs w:val="22"/>
              </w:rPr>
            </w:pPr>
            <w:r w:rsidRPr="00726F56">
              <w:rPr>
                <w:rFonts w:eastAsiaTheme="minorHAnsi"/>
                <w:sz w:val="22"/>
                <w:szCs w:val="22"/>
              </w:rPr>
              <w:t xml:space="preserve">The </w:t>
            </w:r>
            <w:r w:rsidR="006E56A5" w:rsidRPr="00726F56">
              <w:rPr>
                <w:rFonts w:eastAsiaTheme="minorHAnsi"/>
                <w:sz w:val="22"/>
                <w:szCs w:val="22"/>
              </w:rPr>
              <w:t>Higher Education Framework</w:t>
            </w:r>
            <w:r w:rsidR="006E56A5" w:rsidRPr="00726F56">
              <w:rPr>
                <w:sz w:val="22"/>
                <w:szCs w:val="22"/>
              </w:rPr>
              <w:t xml:space="preserve"> </w:t>
            </w:r>
            <w:r w:rsidRPr="00726F56">
              <w:rPr>
                <w:sz w:val="22"/>
                <w:szCs w:val="22"/>
              </w:rPr>
              <w:t xml:space="preserve">Report </w:t>
            </w:r>
            <w:r w:rsidR="006E56A5" w:rsidRPr="00726F56">
              <w:rPr>
                <w:sz w:val="22"/>
                <w:szCs w:val="22"/>
              </w:rPr>
              <w:t xml:space="preserve">provided </w:t>
            </w:r>
            <w:r w:rsidR="006E56A5" w:rsidRPr="00726F56">
              <w:rPr>
                <w:rFonts w:eastAsiaTheme="minorHAnsi"/>
                <w:sz w:val="22"/>
                <w:szCs w:val="22"/>
              </w:rPr>
              <w:t xml:space="preserve">Reasonable </w:t>
            </w:r>
            <w:r w:rsidR="006E56A5" w:rsidRPr="00726F56">
              <w:rPr>
                <w:sz w:val="22"/>
                <w:szCs w:val="22"/>
              </w:rPr>
              <w:t>Assurance with</w:t>
            </w:r>
            <w:r w:rsidR="006E56A5" w:rsidRPr="00726F56">
              <w:rPr>
                <w:bCs/>
                <w:color w:val="000000"/>
                <w:sz w:val="22"/>
                <w:szCs w:val="22"/>
              </w:rPr>
              <w:t xml:space="preserve"> </w:t>
            </w:r>
            <w:r w:rsidR="006E56A5" w:rsidRPr="00726F56">
              <w:rPr>
                <w:rFonts w:eastAsiaTheme="minorHAnsi"/>
                <w:sz w:val="22"/>
                <w:szCs w:val="22"/>
              </w:rPr>
              <w:t xml:space="preserve">4 medium and 1 low </w:t>
            </w:r>
            <w:r w:rsidR="006E56A5" w:rsidRPr="00726F56">
              <w:rPr>
                <w:bCs/>
                <w:sz w:val="22"/>
                <w:szCs w:val="22"/>
              </w:rPr>
              <w:t xml:space="preserve">priority </w:t>
            </w:r>
            <w:r w:rsidR="006E56A5" w:rsidRPr="00726F56">
              <w:rPr>
                <w:bCs/>
                <w:color w:val="000000"/>
                <w:sz w:val="22"/>
                <w:szCs w:val="22"/>
              </w:rPr>
              <w:t>agreed management actions</w:t>
            </w:r>
            <w:r w:rsidR="006E56A5" w:rsidRPr="00726F56">
              <w:rPr>
                <w:sz w:val="22"/>
                <w:szCs w:val="22"/>
              </w:rPr>
              <w:t>.</w:t>
            </w:r>
          </w:p>
        </w:tc>
        <w:tc>
          <w:tcPr>
            <w:tcW w:w="1244" w:type="dxa"/>
          </w:tcPr>
          <w:p w:rsidR="00B24EFC" w:rsidRPr="00726F56" w:rsidRDefault="00B24EFC" w:rsidP="00726F56">
            <w:pPr>
              <w:pStyle w:val="NoSpacing"/>
              <w:jc w:val="both"/>
              <w:rPr>
                <w:b/>
                <w:sz w:val="22"/>
                <w:szCs w:val="22"/>
              </w:rPr>
            </w:pPr>
          </w:p>
          <w:p w:rsidR="00765F3D" w:rsidRPr="00726F56" w:rsidRDefault="00765F3D" w:rsidP="00726F56">
            <w:pPr>
              <w:pStyle w:val="NoSpacing"/>
              <w:jc w:val="both"/>
              <w:rPr>
                <w:b/>
                <w:sz w:val="22"/>
                <w:szCs w:val="22"/>
              </w:rPr>
            </w:pPr>
            <w:r w:rsidRPr="00726F56">
              <w:rPr>
                <w:b/>
                <w:sz w:val="22"/>
                <w:szCs w:val="22"/>
              </w:rPr>
              <w:t>CC</w:t>
            </w:r>
          </w:p>
        </w:tc>
      </w:tr>
      <w:tr w:rsidR="00B24EFC" w:rsidRPr="00726F56" w:rsidTr="00B24EFC">
        <w:trPr>
          <w:trHeight w:val="168"/>
          <w:jc w:val="center"/>
        </w:trPr>
        <w:tc>
          <w:tcPr>
            <w:tcW w:w="767" w:type="dxa"/>
          </w:tcPr>
          <w:p w:rsidR="00B24EFC" w:rsidRPr="00726F56" w:rsidRDefault="00B24EFC" w:rsidP="00726F56">
            <w:pPr>
              <w:jc w:val="both"/>
              <w:rPr>
                <w:b/>
                <w:sz w:val="22"/>
                <w:szCs w:val="22"/>
              </w:rPr>
            </w:pPr>
          </w:p>
        </w:tc>
        <w:tc>
          <w:tcPr>
            <w:tcW w:w="7027" w:type="dxa"/>
          </w:tcPr>
          <w:p w:rsidR="00B24EFC" w:rsidRPr="00726F56" w:rsidRDefault="00B24EFC" w:rsidP="00726F56">
            <w:pPr>
              <w:autoSpaceDE w:val="0"/>
              <w:autoSpaceDN w:val="0"/>
              <w:adjustRightInd w:val="0"/>
              <w:jc w:val="both"/>
              <w:rPr>
                <w:i/>
                <w:sz w:val="22"/>
                <w:szCs w:val="22"/>
              </w:rPr>
            </w:pPr>
          </w:p>
        </w:tc>
        <w:tc>
          <w:tcPr>
            <w:tcW w:w="1244" w:type="dxa"/>
          </w:tcPr>
          <w:p w:rsidR="00B24EFC" w:rsidRPr="00726F56" w:rsidRDefault="00B24EFC" w:rsidP="00726F56">
            <w:pPr>
              <w:pStyle w:val="NoSpacing"/>
              <w:jc w:val="both"/>
              <w:rPr>
                <w:b/>
                <w:sz w:val="22"/>
                <w:szCs w:val="22"/>
              </w:rPr>
            </w:pPr>
          </w:p>
        </w:tc>
      </w:tr>
      <w:tr w:rsidR="00B24EFC" w:rsidRPr="00726F56" w:rsidTr="004562FD">
        <w:trPr>
          <w:jc w:val="center"/>
        </w:trPr>
        <w:tc>
          <w:tcPr>
            <w:tcW w:w="767" w:type="dxa"/>
          </w:tcPr>
          <w:p w:rsidR="00B24EFC" w:rsidRPr="00726F56" w:rsidRDefault="00B24EFC" w:rsidP="00726F56">
            <w:pPr>
              <w:jc w:val="both"/>
              <w:rPr>
                <w:sz w:val="22"/>
                <w:szCs w:val="22"/>
              </w:rPr>
            </w:pPr>
          </w:p>
        </w:tc>
        <w:tc>
          <w:tcPr>
            <w:tcW w:w="7027" w:type="dxa"/>
          </w:tcPr>
          <w:p w:rsidR="00B24EFC" w:rsidRPr="00726F56" w:rsidRDefault="00B24EFC" w:rsidP="00726F56">
            <w:pPr>
              <w:jc w:val="both"/>
              <w:rPr>
                <w:b/>
                <w:sz w:val="22"/>
                <w:szCs w:val="22"/>
              </w:rPr>
            </w:pPr>
            <w:r w:rsidRPr="00726F56">
              <w:rPr>
                <w:i/>
                <w:sz w:val="22"/>
                <w:szCs w:val="22"/>
              </w:rPr>
              <w:t xml:space="preserve">The </w:t>
            </w:r>
            <w:r w:rsidRPr="00726F56">
              <w:rPr>
                <w:bCs/>
                <w:i/>
                <w:sz w:val="22"/>
                <w:szCs w:val="22"/>
              </w:rPr>
              <w:t>Director, Funding, Data and External Contracts</w:t>
            </w:r>
            <w:r w:rsidRPr="00726F56">
              <w:rPr>
                <w:i/>
                <w:sz w:val="22"/>
                <w:szCs w:val="22"/>
              </w:rPr>
              <w:t xml:space="preserve"> and the A</w:t>
            </w:r>
            <w:r w:rsidRPr="00726F56">
              <w:rPr>
                <w:bCs/>
                <w:i/>
                <w:sz w:val="22"/>
                <w:szCs w:val="22"/>
              </w:rPr>
              <w:t>ssurance and Compliance Manager</w:t>
            </w:r>
            <w:r w:rsidRPr="00726F56">
              <w:rPr>
                <w:i/>
                <w:sz w:val="22"/>
                <w:szCs w:val="22"/>
              </w:rPr>
              <w:t xml:space="preserve"> left the meeting at this point</w:t>
            </w:r>
          </w:p>
        </w:tc>
        <w:tc>
          <w:tcPr>
            <w:tcW w:w="1244" w:type="dxa"/>
          </w:tcPr>
          <w:p w:rsidR="00B24EFC" w:rsidRPr="00726F56" w:rsidRDefault="00B24EFC" w:rsidP="00726F56">
            <w:pPr>
              <w:pStyle w:val="NoSpacing"/>
              <w:jc w:val="both"/>
              <w:rPr>
                <w:b/>
                <w:sz w:val="22"/>
                <w:szCs w:val="22"/>
              </w:rPr>
            </w:pPr>
          </w:p>
        </w:tc>
      </w:tr>
      <w:tr w:rsidR="00471B5A" w:rsidRPr="00726F56" w:rsidTr="004562FD">
        <w:trPr>
          <w:jc w:val="center"/>
        </w:trPr>
        <w:tc>
          <w:tcPr>
            <w:tcW w:w="767" w:type="dxa"/>
          </w:tcPr>
          <w:p w:rsidR="00471B5A" w:rsidRPr="00726F56" w:rsidRDefault="00471B5A" w:rsidP="00726F56">
            <w:pPr>
              <w:jc w:val="both"/>
              <w:rPr>
                <w:b/>
                <w:sz w:val="22"/>
                <w:szCs w:val="22"/>
              </w:rPr>
            </w:pPr>
            <w:r w:rsidRPr="00726F56">
              <w:rPr>
                <w:sz w:val="22"/>
                <w:szCs w:val="22"/>
              </w:rPr>
              <w:br w:type="page"/>
            </w:r>
          </w:p>
        </w:tc>
        <w:tc>
          <w:tcPr>
            <w:tcW w:w="7027" w:type="dxa"/>
          </w:tcPr>
          <w:p w:rsidR="00471B5A" w:rsidRPr="00726F56" w:rsidRDefault="00471B5A" w:rsidP="00726F56">
            <w:pPr>
              <w:jc w:val="both"/>
              <w:rPr>
                <w:b/>
                <w:sz w:val="22"/>
                <w:szCs w:val="22"/>
              </w:rPr>
            </w:pPr>
          </w:p>
        </w:tc>
        <w:tc>
          <w:tcPr>
            <w:tcW w:w="1244" w:type="dxa"/>
          </w:tcPr>
          <w:p w:rsidR="00471B5A" w:rsidRPr="00726F56" w:rsidRDefault="00471B5A" w:rsidP="00726F56">
            <w:pPr>
              <w:pStyle w:val="NoSpacing"/>
              <w:jc w:val="both"/>
              <w:rPr>
                <w:b/>
                <w:sz w:val="22"/>
                <w:szCs w:val="22"/>
              </w:rPr>
            </w:pPr>
          </w:p>
        </w:tc>
      </w:tr>
      <w:tr w:rsidR="00471B5A" w:rsidRPr="00726F56" w:rsidTr="004562FD">
        <w:trPr>
          <w:jc w:val="center"/>
        </w:trPr>
        <w:tc>
          <w:tcPr>
            <w:tcW w:w="767" w:type="dxa"/>
          </w:tcPr>
          <w:p w:rsidR="00471B5A" w:rsidRPr="00726F56" w:rsidRDefault="00D96C99" w:rsidP="00726F56">
            <w:pPr>
              <w:jc w:val="both"/>
              <w:rPr>
                <w:b/>
                <w:sz w:val="22"/>
                <w:szCs w:val="22"/>
              </w:rPr>
            </w:pPr>
            <w:r w:rsidRPr="00726F56">
              <w:rPr>
                <w:b/>
                <w:sz w:val="22"/>
                <w:szCs w:val="22"/>
              </w:rPr>
              <w:t>17</w:t>
            </w:r>
            <w:r w:rsidR="006E56A5" w:rsidRPr="00726F56">
              <w:rPr>
                <w:b/>
                <w:sz w:val="22"/>
                <w:szCs w:val="22"/>
              </w:rPr>
              <w:t>.11</w:t>
            </w:r>
          </w:p>
        </w:tc>
        <w:tc>
          <w:tcPr>
            <w:tcW w:w="7027" w:type="dxa"/>
          </w:tcPr>
          <w:p w:rsidR="00471B5A" w:rsidRPr="00726F56" w:rsidRDefault="00471B5A" w:rsidP="00D81778">
            <w:pPr>
              <w:pStyle w:val="Heading1"/>
              <w:jc w:val="both"/>
              <w:outlineLvl w:val="0"/>
              <w:rPr>
                <w:rFonts w:ascii="Arial" w:hAnsi="Arial" w:cs="Arial"/>
                <w:sz w:val="22"/>
                <w:szCs w:val="22"/>
              </w:rPr>
            </w:pPr>
            <w:r w:rsidRPr="00726F56">
              <w:rPr>
                <w:rFonts w:ascii="Arial" w:hAnsi="Arial" w:cs="Arial"/>
                <w:bCs/>
                <w:sz w:val="22"/>
                <w:szCs w:val="22"/>
              </w:rPr>
              <w:t xml:space="preserve">Internal Audit Strategy and Annual Plan </w:t>
            </w:r>
          </w:p>
        </w:tc>
        <w:tc>
          <w:tcPr>
            <w:tcW w:w="1244" w:type="dxa"/>
          </w:tcPr>
          <w:p w:rsidR="00471B5A" w:rsidRPr="00726F56" w:rsidRDefault="00471B5A" w:rsidP="00726F56">
            <w:pPr>
              <w:pStyle w:val="NoSpacing"/>
              <w:jc w:val="both"/>
              <w:rPr>
                <w:b/>
                <w:sz w:val="22"/>
                <w:szCs w:val="22"/>
              </w:rPr>
            </w:pPr>
          </w:p>
        </w:tc>
      </w:tr>
      <w:tr w:rsidR="00471B5A" w:rsidRPr="00726F56" w:rsidTr="004562FD">
        <w:trPr>
          <w:jc w:val="center"/>
        </w:trPr>
        <w:tc>
          <w:tcPr>
            <w:tcW w:w="767" w:type="dxa"/>
          </w:tcPr>
          <w:p w:rsidR="00471B5A" w:rsidRPr="00726F56" w:rsidRDefault="00471B5A" w:rsidP="00726F56">
            <w:pPr>
              <w:jc w:val="both"/>
              <w:rPr>
                <w:b/>
                <w:sz w:val="22"/>
                <w:szCs w:val="22"/>
              </w:rPr>
            </w:pPr>
            <w:proofErr w:type="spellStart"/>
            <w:r w:rsidRPr="00726F56">
              <w:rPr>
                <w:b/>
                <w:sz w:val="22"/>
                <w:szCs w:val="22"/>
              </w:rPr>
              <w:t>i</w:t>
            </w:r>
            <w:proofErr w:type="spellEnd"/>
            <w:r w:rsidRPr="00726F56">
              <w:rPr>
                <w:b/>
                <w:sz w:val="22"/>
                <w:szCs w:val="22"/>
              </w:rPr>
              <w:t>)</w:t>
            </w:r>
          </w:p>
        </w:tc>
        <w:tc>
          <w:tcPr>
            <w:tcW w:w="7027" w:type="dxa"/>
          </w:tcPr>
          <w:p w:rsidR="00471B5A" w:rsidRPr="00726F56" w:rsidRDefault="00621568" w:rsidP="00726F56">
            <w:pPr>
              <w:pStyle w:val="Bullets3"/>
              <w:jc w:val="both"/>
              <w:rPr>
                <w:rFonts w:cs="Arial"/>
                <w:sz w:val="22"/>
                <w:szCs w:val="22"/>
                <w:lang w:eastAsia="en-GB"/>
              </w:rPr>
            </w:pPr>
            <w:r w:rsidRPr="00726F56">
              <w:rPr>
                <w:rFonts w:cs="Arial"/>
                <w:bCs/>
                <w:sz w:val="22"/>
                <w:szCs w:val="22"/>
              </w:rPr>
              <w:t xml:space="preserve"> </w:t>
            </w:r>
            <w:r w:rsidR="00471B5A" w:rsidRPr="00726F56">
              <w:rPr>
                <w:rFonts w:cs="Arial"/>
                <w:sz w:val="22"/>
                <w:szCs w:val="22"/>
                <w:lang w:eastAsia="en-GB"/>
              </w:rPr>
              <w:t xml:space="preserve">Louise Tweedie, </w:t>
            </w:r>
            <w:r w:rsidR="00471B5A" w:rsidRPr="00726F56">
              <w:rPr>
                <w:rFonts w:cs="Arial"/>
                <w:sz w:val="22"/>
                <w:szCs w:val="22"/>
              </w:rPr>
              <w:t>Director</w:t>
            </w:r>
            <w:r w:rsidR="00471B5A" w:rsidRPr="00726F56">
              <w:rPr>
                <w:rFonts w:cs="Arial"/>
                <w:bCs/>
                <w:sz w:val="22"/>
                <w:szCs w:val="22"/>
              </w:rPr>
              <w:t>, RSM Risk Assurance Services LLP presented the Internal Audit Strategy</w:t>
            </w:r>
            <w:r w:rsidR="008679AD" w:rsidRPr="00726F56">
              <w:rPr>
                <w:rFonts w:cs="Arial"/>
                <w:bCs/>
                <w:sz w:val="22"/>
                <w:szCs w:val="22"/>
              </w:rPr>
              <w:t xml:space="preserve"> which </w:t>
            </w:r>
            <w:r w:rsidR="0084521C" w:rsidRPr="00726F56">
              <w:rPr>
                <w:rFonts w:cs="Arial"/>
                <w:bCs/>
                <w:sz w:val="22"/>
                <w:szCs w:val="22"/>
              </w:rPr>
              <w:t xml:space="preserve">was in a new format.  The </w:t>
            </w:r>
            <w:r w:rsidR="005F1929" w:rsidRPr="00726F56">
              <w:rPr>
                <w:rFonts w:cs="Arial"/>
                <w:bCs/>
                <w:sz w:val="22"/>
                <w:szCs w:val="22"/>
              </w:rPr>
              <w:t xml:space="preserve">43 day </w:t>
            </w:r>
            <w:r w:rsidR="0084521C" w:rsidRPr="00726F56">
              <w:rPr>
                <w:rFonts w:cs="Arial"/>
                <w:bCs/>
                <w:sz w:val="22"/>
                <w:szCs w:val="22"/>
              </w:rPr>
              <w:t xml:space="preserve">plan had been drawn up with reference </w:t>
            </w:r>
            <w:r w:rsidR="005F1929" w:rsidRPr="00726F56">
              <w:rPr>
                <w:rFonts w:cs="Arial"/>
                <w:bCs/>
                <w:sz w:val="22"/>
                <w:szCs w:val="22"/>
              </w:rPr>
              <w:t>to the College Risk R</w:t>
            </w:r>
            <w:r w:rsidR="0084521C" w:rsidRPr="00726F56">
              <w:rPr>
                <w:rFonts w:cs="Arial"/>
                <w:bCs/>
                <w:sz w:val="22"/>
                <w:szCs w:val="22"/>
              </w:rPr>
              <w:t>egister, RSM</w:t>
            </w:r>
            <w:r w:rsidR="005F1929" w:rsidRPr="00726F56">
              <w:rPr>
                <w:rFonts w:cs="Arial"/>
                <w:bCs/>
                <w:sz w:val="22"/>
                <w:szCs w:val="22"/>
              </w:rPr>
              <w:t>’s Risk Report, emerging risk</w:t>
            </w:r>
            <w:r w:rsidR="0084521C" w:rsidRPr="00726F56">
              <w:rPr>
                <w:rFonts w:cs="Arial"/>
                <w:bCs/>
                <w:sz w:val="22"/>
                <w:szCs w:val="22"/>
              </w:rPr>
              <w:t xml:space="preserve">s and regulatory </w:t>
            </w:r>
            <w:r w:rsidR="00726F56" w:rsidRPr="00726F56">
              <w:rPr>
                <w:rFonts w:cs="Arial"/>
                <w:bCs/>
                <w:sz w:val="22"/>
                <w:szCs w:val="22"/>
              </w:rPr>
              <w:t>requirements and</w:t>
            </w:r>
            <w:r w:rsidR="0084521C" w:rsidRPr="00726F56">
              <w:rPr>
                <w:rFonts w:cs="Arial"/>
                <w:bCs/>
                <w:sz w:val="22"/>
                <w:szCs w:val="22"/>
              </w:rPr>
              <w:t xml:space="preserve"> the date of last audit of core business processes and had been discussed with key members </w:t>
            </w:r>
            <w:r w:rsidR="00726F56" w:rsidRPr="00726F56">
              <w:rPr>
                <w:rFonts w:cs="Arial"/>
                <w:bCs/>
                <w:sz w:val="22"/>
                <w:szCs w:val="22"/>
              </w:rPr>
              <w:t>of</w:t>
            </w:r>
            <w:r w:rsidR="0084521C" w:rsidRPr="00726F56">
              <w:rPr>
                <w:rFonts w:cs="Arial"/>
                <w:bCs/>
                <w:sz w:val="22"/>
                <w:szCs w:val="22"/>
              </w:rPr>
              <w:t xml:space="preserve"> management.  Audits would cover:</w:t>
            </w:r>
            <w:r w:rsidR="005F1929" w:rsidRPr="00726F56">
              <w:rPr>
                <w:rFonts w:cs="Arial"/>
                <w:bCs/>
                <w:sz w:val="22"/>
                <w:szCs w:val="22"/>
              </w:rPr>
              <w:t xml:space="preserve"> </w:t>
            </w:r>
            <w:r w:rsidR="0084521C" w:rsidRPr="00726F56">
              <w:rPr>
                <w:rFonts w:cs="Arial"/>
                <w:bCs/>
                <w:sz w:val="22"/>
                <w:szCs w:val="22"/>
              </w:rPr>
              <w:t xml:space="preserve">Learner </w:t>
            </w:r>
            <w:r w:rsidR="00726F56" w:rsidRPr="00726F56">
              <w:rPr>
                <w:rFonts w:cs="Arial"/>
                <w:bCs/>
                <w:sz w:val="22"/>
                <w:szCs w:val="22"/>
              </w:rPr>
              <w:t>Number</w:t>
            </w:r>
            <w:r w:rsidR="0084521C" w:rsidRPr="00726F56">
              <w:rPr>
                <w:rFonts w:cs="Arial"/>
                <w:bCs/>
                <w:sz w:val="22"/>
                <w:szCs w:val="22"/>
              </w:rPr>
              <w:t xml:space="preserve"> </w:t>
            </w:r>
            <w:r w:rsidR="00726F56" w:rsidRPr="00726F56">
              <w:rPr>
                <w:rFonts w:cs="Arial"/>
                <w:bCs/>
                <w:sz w:val="22"/>
                <w:szCs w:val="22"/>
              </w:rPr>
              <w:t>systems</w:t>
            </w:r>
            <w:r w:rsidR="0084521C" w:rsidRPr="00726F56">
              <w:rPr>
                <w:rFonts w:cs="Arial"/>
                <w:bCs/>
                <w:sz w:val="22"/>
                <w:szCs w:val="22"/>
              </w:rPr>
              <w:t>: Adult Education Bu</w:t>
            </w:r>
            <w:r w:rsidR="00765F3D" w:rsidRPr="00726F56">
              <w:rPr>
                <w:rFonts w:cs="Arial"/>
                <w:bCs/>
                <w:sz w:val="22"/>
                <w:szCs w:val="22"/>
              </w:rPr>
              <w:t>dget; Framework for Efficiency (</w:t>
            </w:r>
            <w:r w:rsidR="0084521C" w:rsidRPr="00726F56">
              <w:rPr>
                <w:rFonts w:cs="Arial"/>
                <w:bCs/>
                <w:sz w:val="22"/>
                <w:szCs w:val="22"/>
              </w:rPr>
              <w:t>curriculum plan</w:t>
            </w:r>
            <w:r w:rsidR="00765F3D" w:rsidRPr="00726F56">
              <w:rPr>
                <w:rFonts w:cs="Arial"/>
                <w:bCs/>
                <w:sz w:val="22"/>
                <w:szCs w:val="22"/>
              </w:rPr>
              <w:t xml:space="preserve"> imple</w:t>
            </w:r>
            <w:r w:rsidR="009D7B5D">
              <w:rPr>
                <w:rFonts w:cs="Arial"/>
                <w:bCs/>
                <w:sz w:val="22"/>
                <w:szCs w:val="22"/>
              </w:rPr>
              <w:t xml:space="preserve">mentation); Quality Assurance </w:t>
            </w:r>
            <w:r w:rsidR="009D7B5D" w:rsidRPr="00726F56">
              <w:rPr>
                <w:rFonts w:cs="Arial"/>
                <w:bCs/>
                <w:sz w:val="22"/>
                <w:szCs w:val="22"/>
              </w:rPr>
              <w:t>systems</w:t>
            </w:r>
            <w:r w:rsidR="00765F3D" w:rsidRPr="00726F56">
              <w:rPr>
                <w:rFonts w:cs="Arial"/>
                <w:bCs/>
                <w:sz w:val="22"/>
                <w:szCs w:val="22"/>
              </w:rPr>
              <w:t xml:space="preserve">; Student Support arrangements: Employability and Careers Strategy; Key Financial Controls; Management Information Framework and Follow Up.  The Internal Audit Strategy 2019-20n – 2021/22 also included the 2016/17 – 2018/19 </w:t>
            </w:r>
            <w:r w:rsidR="005F1929" w:rsidRPr="00726F56">
              <w:rPr>
                <w:rFonts w:cs="Arial"/>
                <w:bCs/>
                <w:sz w:val="22"/>
                <w:szCs w:val="22"/>
              </w:rPr>
              <w:t>report</w:t>
            </w:r>
            <w:r w:rsidR="00765F3D" w:rsidRPr="00726F56">
              <w:rPr>
                <w:rFonts w:cs="Arial"/>
                <w:bCs/>
                <w:sz w:val="22"/>
                <w:szCs w:val="22"/>
              </w:rPr>
              <w:t xml:space="preserve"> data</w:t>
            </w:r>
            <w:r w:rsidR="005F1929" w:rsidRPr="00726F56">
              <w:rPr>
                <w:rFonts w:cs="Arial"/>
                <w:bCs/>
                <w:sz w:val="22"/>
                <w:szCs w:val="22"/>
              </w:rPr>
              <w:t xml:space="preserve"> to provide a wider context</w:t>
            </w:r>
            <w:r w:rsidR="00765F3D" w:rsidRPr="00726F56">
              <w:rPr>
                <w:rFonts w:cs="Arial"/>
                <w:bCs/>
                <w:sz w:val="22"/>
                <w:szCs w:val="22"/>
              </w:rPr>
              <w:t>.</w:t>
            </w:r>
          </w:p>
        </w:tc>
        <w:tc>
          <w:tcPr>
            <w:tcW w:w="1244" w:type="dxa"/>
          </w:tcPr>
          <w:p w:rsidR="00471B5A" w:rsidRPr="00726F56" w:rsidRDefault="00471B5A" w:rsidP="00726F56">
            <w:pPr>
              <w:pStyle w:val="NoSpacing"/>
              <w:jc w:val="both"/>
              <w:rPr>
                <w:b/>
                <w:sz w:val="22"/>
                <w:szCs w:val="22"/>
              </w:rPr>
            </w:pPr>
          </w:p>
        </w:tc>
      </w:tr>
      <w:tr w:rsidR="001C2BD4" w:rsidRPr="00726F56" w:rsidTr="004562FD">
        <w:trPr>
          <w:jc w:val="center"/>
        </w:trPr>
        <w:tc>
          <w:tcPr>
            <w:tcW w:w="767" w:type="dxa"/>
          </w:tcPr>
          <w:p w:rsidR="001C2BD4" w:rsidRPr="00726F56" w:rsidRDefault="001C2BD4" w:rsidP="00726F56">
            <w:pPr>
              <w:jc w:val="both"/>
              <w:rPr>
                <w:b/>
                <w:sz w:val="22"/>
                <w:szCs w:val="22"/>
              </w:rPr>
            </w:pPr>
          </w:p>
        </w:tc>
        <w:tc>
          <w:tcPr>
            <w:tcW w:w="7027" w:type="dxa"/>
          </w:tcPr>
          <w:p w:rsidR="001C2BD4" w:rsidRPr="00726F56" w:rsidRDefault="001C2BD4" w:rsidP="00726F56">
            <w:pPr>
              <w:pStyle w:val="Bullets3"/>
              <w:jc w:val="both"/>
              <w:rPr>
                <w:rFonts w:cs="Arial"/>
                <w:color w:val="FF0000"/>
                <w:sz w:val="22"/>
                <w:szCs w:val="22"/>
              </w:rPr>
            </w:pPr>
          </w:p>
        </w:tc>
        <w:tc>
          <w:tcPr>
            <w:tcW w:w="1244" w:type="dxa"/>
          </w:tcPr>
          <w:p w:rsidR="001C2BD4" w:rsidRPr="00726F56" w:rsidRDefault="001C2BD4" w:rsidP="00726F56">
            <w:pPr>
              <w:pStyle w:val="NoSpacing"/>
              <w:jc w:val="both"/>
              <w:rPr>
                <w:b/>
                <w:sz w:val="22"/>
                <w:szCs w:val="22"/>
              </w:rPr>
            </w:pPr>
          </w:p>
        </w:tc>
      </w:tr>
      <w:tr w:rsidR="001C2BD4" w:rsidRPr="00726F56" w:rsidTr="004562FD">
        <w:trPr>
          <w:jc w:val="center"/>
        </w:trPr>
        <w:tc>
          <w:tcPr>
            <w:tcW w:w="767" w:type="dxa"/>
          </w:tcPr>
          <w:p w:rsidR="001C2BD4" w:rsidRPr="00726F56" w:rsidRDefault="00A502F0" w:rsidP="00726F56">
            <w:pPr>
              <w:jc w:val="both"/>
              <w:rPr>
                <w:b/>
                <w:sz w:val="22"/>
                <w:szCs w:val="22"/>
              </w:rPr>
            </w:pPr>
            <w:r w:rsidRPr="00726F56">
              <w:rPr>
                <w:b/>
                <w:sz w:val="22"/>
                <w:szCs w:val="22"/>
              </w:rPr>
              <w:t>ii)</w:t>
            </w:r>
          </w:p>
        </w:tc>
        <w:tc>
          <w:tcPr>
            <w:tcW w:w="7027" w:type="dxa"/>
            <w:shd w:val="clear" w:color="auto" w:fill="auto"/>
          </w:tcPr>
          <w:p w:rsidR="008F7577" w:rsidRPr="00726F56" w:rsidRDefault="00765F3D" w:rsidP="00726F56">
            <w:pPr>
              <w:pStyle w:val="Bullets3"/>
              <w:jc w:val="both"/>
              <w:rPr>
                <w:rFonts w:cs="Arial"/>
                <w:sz w:val="22"/>
                <w:szCs w:val="22"/>
              </w:rPr>
            </w:pPr>
            <w:r w:rsidRPr="00726F56">
              <w:rPr>
                <w:rFonts w:cs="Arial"/>
                <w:sz w:val="22"/>
                <w:szCs w:val="22"/>
              </w:rPr>
              <w:t xml:space="preserve">The Clerk to the Corporation had questioned the proposed increase in the fee from the £415 per day agreed on 27 March 2018 and </w:t>
            </w:r>
            <w:r w:rsidR="009D7B5D" w:rsidRPr="00726F56">
              <w:rPr>
                <w:rFonts w:cs="Arial"/>
                <w:sz w:val="22"/>
                <w:szCs w:val="22"/>
              </w:rPr>
              <w:t>the Director</w:t>
            </w:r>
            <w:r w:rsidRPr="00726F56">
              <w:rPr>
                <w:rFonts w:cs="Arial"/>
                <w:bCs/>
                <w:sz w:val="22"/>
                <w:szCs w:val="22"/>
              </w:rPr>
              <w:t xml:space="preserve">, RSM Risk Assurance Services LLP confirmed that this was an error and the fee </w:t>
            </w:r>
            <w:r w:rsidR="009D7B5D" w:rsidRPr="00726F56">
              <w:rPr>
                <w:rFonts w:cs="Arial"/>
                <w:bCs/>
                <w:sz w:val="22"/>
                <w:szCs w:val="22"/>
              </w:rPr>
              <w:t>would</w:t>
            </w:r>
            <w:r w:rsidRPr="00726F56">
              <w:rPr>
                <w:rFonts w:cs="Arial"/>
                <w:bCs/>
                <w:sz w:val="22"/>
                <w:szCs w:val="22"/>
              </w:rPr>
              <w:t xml:space="preserve"> be held at £415 a day until 2021 as agreed.  The plan would be revised for the Corporation meeting.</w:t>
            </w:r>
            <w:r w:rsidR="008F7577" w:rsidRPr="00726F56">
              <w:rPr>
                <w:rFonts w:cs="Arial"/>
                <w:sz w:val="22"/>
                <w:szCs w:val="22"/>
              </w:rPr>
              <w:t xml:space="preserve"> </w:t>
            </w:r>
          </w:p>
        </w:tc>
        <w:tc>
          <w:tcPr>
            <w:tcW w:w="1244" w:type="dxa"/>
          </w:tcPr>
          <w:p w:rsidR="001C2BD4" w:rsidRPr="00726F56" w:rsidRDefault="001C2BD4" w:rsidP="00726F56">
            <w:pPr>
              <w:pStyle w:val="NoSpacing"/>
              <w:jc w:val="both"/>
              <w:rPr>
                <w:b/>
                <w:sz w:val="22"/>
                <w:szCs w:val="22"/>
              </w:rPr>
            </w:pPr>
          </w:p>
        </w:tc>
      </w:tr>
      <w:tr w:rsidR="008679AD" w:rsidRPr="00726F56" w:rsidTr="004562FD">
        <w:trPr>
          <w:jc w:val="center"/>
        </w:trPr>
        <w:tc>
          <w:tcPr>
            <w:tcW w:w="767" w:type="dxa"/>
          </w:tcPr>
          <w:p w:rsidR="008679AD" w:rsidRPr="00726F56" w:rsidRDefault="008679AD" w:rsidP="00726F56">
            <w:pPr>
              <w:jc w:val="both"/>
              <w:rPr>
                <w:b/>
                <w:sz w:val="22"/>
                <w:szCs w:val="22"/>
              </w:rPr>
            </w:pPr>
          </w:p>
        </w:tc>
        <w:tc>
          <w:tcPr>
            <w:tcW w:w="7027" w:type="dxa"/>
          </w:tcPr>
          <w:p w:rsidR="008679AD" w:rsidRPr="00726F56" w:rsidRDefault="008679AD" w:rsidP="00726F56">
            <w:pPr>
              <w:pStyle w:val="Bullets3"/>
              <w:jc w:val="both"/>
              <w:rPr>
                <w:rFonts w:cs="Arial"/>
                <w:sz w:val="22"/>
                <w:szCs w:val="22"/>
              </w:rPr>
            </w:pPr>
          </w:p>
        </w:tc>
        <w:tc>
          <w:tcPr>
            <w:tcW w:w="1244" w:type="dxa"/>
          </w:tcPr>
          <w:p w:rsidR="008679AD" w:rsidRPr="00726F56" w:rsidRDefault="008679AD" w:rsidP="00726F56">
            <w:pPr>
              <w:pStyle w:val="NoSpacing"/>
              <w:jc w:val="both"/>
              <w:rPr>
                <w:b/>
                <w:sz w:val="22"/>
                <w:szCs w:val="22"/>
              </w:rPr>
            </w:pPr>
          </w:p>
        </w:tc>
      </w:tr>
      <w:tr w:rsidR="00471B5A" w:rsidRPr="00726F56" w:rsidTr="004562FD">
        <w:trPr>
          <w:jc w:val="center"/>
        </w:trPr>
        <w:tc>
          <w:tcPr>
            <w:tcW w:w="767" w:type="dxa"/>
          </w:tcPr>
          <w:p w:rsidR="00471B5A" w:rsidRPr="00726F56" w:rsidRDefault="00471B5A" w:rsidP="00726F56">
            <w:pPr>
              <w:jc w:val="both"/>
              <w:rPr>
                <w:b/>
                <w:sz w:val="22"/>
                <w:szCs w:val="22"/>
              </w:rPr>
            </w:pPr>
            <w:r w:rsidRPr="00726F56">
              <w:rPr>
                <w:b/>
                <w:sz w:val="22"/>
                <w:szCs w:val="22"/>
              </w:rPr>
              <w:t>i</w:t>
            </w:r>
            <w:r w:rsidR="00A502F0" w:rsidRPr="00726F56">
              <w:rPr>
                <w:b/>
                <w:sz w:val="22"/>
                <w:szCs w:val="22"/>
              </w:rPr>
              <w:t>i</w:t>
            </w:r>
            <w:r w:rsidRPr="00726F56">
              <w:rPr>
                <w:b/>
                <w:sz w:val="22"/>
                <w:szCs w:val="22"/>
              </w:rPr>
              <w:t>i)</w:t>
            </w:r>
          </w:p>
        </w:tc>
        <w:tc>
          <w:tcPr>
            <w:tcW w:w="7027" w:type="dxa"/>
          </w:tcPr>
          <w:p w:rsidR="00AB34F2" w:rsidRPr="00726F56" w:rsidRDefault="00471B5A" w:rsidP="00726F56">
            <w:pPr>
              <w:pStyle w:val="Bullets3"/>
              <w:jc w:val="both"/>
              <w:rPr>
                <w:rFonts w:cs="Arial"/>
                <w:sz w:val="22"/>
                <w:szCs w:val="22"/>
              </w:rPr>
            </w:pPr>
            <w:r w:rsidRPr="00726F56">
              <w:rPr>
                <w:rFonts w:cs="Arial"/>
                <w:sz w:val="22"/>
                <w:szCs w:val="22"/>
              </w:rPr>
              <w:t xml:space="preserve">The Audit Committee </w:t>
            </w:r>
            <w:r w:rsidRPr="00726F56">
              <w:rPr>
                <w:rFonts w:cs="Arial"/>
                <w:b/>
                <w:bCs/>
                <w:sz w:val="22"/>
                <w:szCs w:val="22"/>
              </w:rPr>
              <w:t>CONSIDERED</w:t>
            </w:r>
            <w:r w:rsidRPr="00726F56">
              <w:rPr>
                <w:rFonts w:cs="Arial"/>
                <w:sz w:val="22"/>
                <w:szCs w:val="22"/>
              </w:rPr>
              <w:t xml:space="preserve"> the </w:t>
            </w:r>
            <w:r w:rsidR="00AB34F2" w:rsidRPr="00726F56">
              <w:rPr>
                <w:rFonts w:cs="Arial"/>
                <w:bCs/>
                <w:sz w:val="22"/>
                <w:szCs w:val="22"/>
              </w:rPr>
              <w:t xml:space="preserve">scope and objectives in the </w:t>
            </w:r>
            <w:r w:rsidRPr="00726F56">
              <w:rPr>
                <w:rFonts w:cs="Arial"/>
                <w:bCs/>
                <w:sz w:val="22"/>
                <w:szCs w:val="22"/>
              </w:rPr>
              <w:t xml:space="preserve">Internal Audit Strategy </w:t>
            </w:r>
            <w:r w:rsidR="006E56A5" w:rsidRPr="00726F56">
              <w:rPr>
                <w:rFonts w:cs="Arial"/>
                <w:sz w:val="22"/>
                <w:szCs w:val="22"/>
              </w:rPr>
              <w:t>for 2019</w:t>
            </w:r>
            <w:r w:rsidRPr="00726F56">
              <w:rPr>
                <w:rFonts w:cs="Arial"/>
                <w:sz w:val="22"/>
                <w:szCs w:val="22"/>
              </w:rPr>
              <w:t>/</w:t>
            </w:r>
            <w:r w:rsidR="006E56A5" w:rsidRPr="00726F56">
              <w:rPr>
                <w:rFonts w:cs="Arial"/>
                <w:sz w:val="22"/>
                <w:szCs w:val="22"/>
              </w:rPr>
              <w:t>20</w:t>
            </w:r>
            <w:r w:rsidRPr="00726F56">
              <w:rPr>
                <w:rFonts w:cs="Arial"/>
                <w:bCs/>
                <w:iCs/>
                <w:sz w:val="22"/>
                <w:szCs w:val="22"/>
              </w:rPr>
              <w:t xml:space="preserve">- </w:t>
            </w:r>
            <w:r w:rsidR="006E56A5" w:rsidRPr="00726F56">
              <w:rPr>
                <w:rFonts w:cs="Arial"/>
                <w:sz w:val="22"/>
                <w:szCs w:val="22"/>
              </w:rPr>
              <w:t>2021/22</w:t>
            </w:r>
            <w:r w:rsidRPr="00726F56">
              <w:rPr>
                <w:rFonts w:cs="Arial"/>
                <w:sz w:val="22"/>
                <w:szCs w:val="22"/>
              </w:rPr>
              <w:t xml:space="preserve"> </w:t>
            </w:r>
            <w:r w:rsidRPr="00726F56">
              <w:rPr>
                <w:rFonts w:cs="Arial"/>
                <w:bCs/>
                <w:sz w:val="22"/>
                <w:szCs w:val="22"/>
              </w:rPr>
              <w:t xml:space="preserve">and Plan for </w:t>
            </w:r>
            <w:r w:rsidR="006E56A5" w:rsidRPr="00726F56">
              <w:rPr>
                <w:rFonts w:cs="Arial"/>
                <w:sz w:val="22"/>
                <w:szCs w:val="22"/>
              </w:rPr>
              <w:t>2019/20</w:t>
            </w:r>
            <w:r w:rsidRPr="00726F56">
              <w:rPr>
                <w:rFonts w:cs="Arial"/>
                <w:sz w:val="22"/>
                <w:szCs w:val="22"/>
              </w:rPr>
              <w:t xml:space="preserve"> and </w:t>
            </w:r>
            <w:r w:rsidRPr="00726F56">
              <w:rPr>
                <w:rFonts w:cs="Arial"/>
                <w:b/>
                <w:bCs/>
                <w:sz w:val="22"/>
                <w:szCs w:val="22"/>
              </w:rPr>
              <w:t>AGREED TO RECOMMEND</w:t>
            </w:r>
            <w:r w:rsidRPr="00726F56">
              <w:rPr>
                <w:rFonts w:cs="Arial"/>
                <w:sz w:val="22"/>
                <w:szCs w:val="22"/>
              </w:rPr>
              <w:t xml:space="preserve"> them to the Corporation for approval</w:t>
            </w:r>
            <w:r w:rsidR="00765F3D" w:rsidRPr="00726F56">
              <w:rPr>
                <w:rFonts w:cs="Arial"/>
                <w:sz w:val="22"/>
                <w:szCs w:val="22"/>
              </w:rPr>
              <w:t xml:space="preserve"> at the meeting on 16 July 2019</w:t>
            </w:r>
            <w:r w:rsidRPr="00726F56">
              <w:rPr>
                <w:rFonts w:cs="Arial"/>
                <w:sz w:val="22"/>
                <w:szCs w:val="22"/>
              </w:rPr>
              <w:t>.</w:t>
            </w:r>
          </w:p>
        </w:tc>
        <w:tc>
          <w:tcPr>
            <w:tcW w:w="1244" w:type="dxa"/>
          </w:tcPr>
          <w:p w:rsidR="00471B5A" w:rsidRPr="00726F56" w:rsidRDefault="00471B5A" w:rsidP="00726F56">
            <w:pPr>
              <w:pStyle w:val="NoSpacing"/>
              <w:jc w:val="both"/>
              <w:rPr>
                <w:b/>
                <w:sz w:val="22"/>
                <w:szCs w:val="22"/>
              </w:rPr>
            </w:pPr>
          </w:p>
          <w:p w:rsidR="00AB4330" w:rsidRDefault="00AB4330" w:rsidP="00726F56">
            <w:pPr>
              <w:pStyle w:val="NoSpacing"/>
              <w:jc w:val="both"/>
              <w:rPr>
                <w:b/>
                <w:sz w:val="22"/>
                <w:szCs w:val="22"/>
              </w:rPr>
            </w:pPr>
          </w:p>
          <w:p w:rsidR="00471B5A" w:rsidRPr="00726F56" w:rsidRDefault="00471B5A" w:rsidP="00726F56">
            <w:pPr>
              <w:pStyle w:val="NoSpacing"/>
              <w:jc w:val="both"/>
              <w:rPr>
                <w:b/>
                <w:sz w:val="22"/>
                <w:szCs w:val="22"/>
              </w:rPr>
            </w:pPr>
            <w:r w:rsidRPr="00726F56">
              <w:rPr>
                <w:b/>
                <w:sz w:val="22"/>
                <w:szCs w:val="22"/>
              </w:rPr>
              <w:t>CC</w:t>
            </w:r>
          </w:p>
        </w:tc>
      </w:tr>
      <w:tr w:rsidR="00471B5A" w:rsidRPr="00726F56" w:rsidTr="004562FD">
        <w:trPr>
          <w:jc w:val="center"/>
        </w:trPr>
        <w:tc>
          <w:tcPr>
            <w:tcW w:w="767" w:type="dxa"/>
          </w:tcPr>
          <w:p w:rsidR="00471B5A" w:rsidRPr="00726F56" w:rsidRDefault="00471B5A" w:rsidP="00726F56">
            <w:pPr>
              <w:jc w:val="both"/>
              <w:rPr>
                <w:b/>
                <w:sz w:val="22"/>
                <w:szCs w:val="22"/>
              </w:rPr>
            </w:pPr>
          </w:p>
        </w:tc>
        <w:tc>
          <w:tcPr>
            <w:tcW w:w="7027" w:type="dxa"/>
          </w:tcPr>
          <w:p w:rsidR="00471B5A" w:rsidRPr="00726F56" w:rsidRDefault="00471B5A" w:rsidP="00726F56">
            <w:pPr>
              <w:pStyle w:val="Bullets3"/>
              <w:jc w:val="both"/>
              <w:rPr>
                <w:rFonts w:cs="Arial"/>
                <w:b/>
                <w:sz w:val="22"/>
                <w:szCs w:val="22"/>
              </w:rPr>
            </w:pPr>
          </w:p>
        </w:tc>
        <w:tc>
          <w:tcPr>
            <w:tcW w:w="1244" w:type="dxa"/>
          </w:tcPr>
          <w:p w:rsidR="00471B5A" w:rsidRPr="00726F56" w:rsidRDefault="00471B5A" w:rsidP="00726F56">
            <w:pPr>
              <w:pStyle w:val="NoSpacing"/>
              <w:jc w:val="both"/>
              <w:rPr>
                <w:b/>
                <w:sz w:val="22"/>
                <w:szCs w:val="22"/>
              </w:rPr>
            </w:pPr>
          </w:p>
        </w:tc>
      </w:tr>
      <w:tr w:rsidR="00471B5A" w:rsidRPr="00726F56" w:rsidTr="004562FD">
        <w:trPr>
          <w:jc w:val="center"/>
        </w:trPr>
        <w:tc>
          <w:tcPr>
            <w:tcW w:w="767" w:type="dxa"/>
          </w:tcPr>
          <w:p w:rsidR="00471B5A" w:rsidRPr="00726F56" w:rsidRDefault="00D96C99" w:rsidP="00726F56">
            <w:pPr>
              <w:jc w:val="both"/>
              <w:rPr>
                <w:b/>
                <w:sz w:val="22"/>
                <w:szCs w:val="22"/>
              </w:rPr>
            </w:pPr>
            <w:r w:rsidRPr="00726F56">
              <w:rPr>
                <w:b/>
                <w:sz w:val="22"/>
                <w:szCs w:val="22"/>
              </w:rPr>
              <w:t>17</w:t>
            </w:r>
            <w:r w:rsidR="004B0A65" w:rsidRPr="00726F56">
              <w:rPr>
                <w:b/>
                <w:sz w:val="22"/>
                <w:szCs w:val="22"/>
              </w:rPr>
              <w:t>.12</w:t>
            </w:r>
          </w:p>
        </w:tc>
        <w:tc>
          <w:tcPr>
            <w:tcW w:w="7027" w:type="dxa"/>
          </w:tcPr>
          <w:p w:rsidR="00471B5A" w:rsidRPr="00726F56" w:rsidRDefault="00471B5A" w:rsidP="00726F56">
            <w:pPr>
              <w:pStyle w:val="Heading2"/>
              <w:jc w:val="both"/>
              <w:outlineLvl w:val="1"/>
              <w:rPr>
                <w:rFonts w:ascii="Arial" w:hAnsi="Arial" w:cs="Arial"/>
                <w:bCs/>
                <w:sz w:val="22"/>
                <w:szCs w:val="22"/>
              </w:rPr>
            </w:pPr>
            <w:r w:rsidRPr="00726F56">
              <w:rPr>
                <w:rFonts w:ascii="Arial" w:hAnsi="Arial" w:cs="Arial"/>
                <w:bCs/>
                <w:sz w:val="22"/>
                <w:szCs w:val="22"/>
              </w:rPr>
              <w:t>2017/18 Financial</w:t>
            </w:r>
            <w:r w:rsidRPr="00726F56">
              <w:rPr>
                <w:rFonts w:ascii="Arial" w:hAnsi="Arial" w:cs="Arial"/>
                <w:sz w:val="22"/>
                <w:szCs w:val="22"/>
              </w:rPr>
              <w:t xml:space="preserve"> Statements Audit</w:t>
            </w:r>
          </w:p>
        </w:tc>
        <w:tc>
          <w:tcPr>
            <w:tcW w:w="1244" w:type="dxa"/>
          </w:tcPr>
          <w:p w:rsidR="00471B5A" w:rsidRPr="00726F56" w:rsidRDefault="00471B5A" w:rsidP="00726F56">
            <w:pPr>
              <w:pStyle w:val="NoSpacing"/>
              <w:jc w:val="both"/>
              <w:rPr>
                <w:b/>
                <w:sz w:val="22"/>
                <w:szCs w:val="22"/>
              </w:rPr>
            </w:pPr>
          </w:p>
        </w:tc>
      </w:tr>
      <w:tr w:rsidR="00471B5A" w:rsidRPr="00726F56" w:rsidTr="004562FD">
        <w:trPr>
          <w:jc w:val="center"/>
        </w:trPr>
        <w:tc>
          <w:tcPr>
            <w:tcW w:w="767" w:type="dxa"/>
          </w:tcPr>
          <w:p w:rsidR="00471B5A" w:rsidRPr="00726F56" w:rsidRDefault="00471B5A" w:rsidP="00726F56">
            <w:pPr>
              <w:jc w:val="both"/>
              <w:rPr>
                <w:b/>
                <w:sz w:val="22"/>
                <w:szCs w:val="22"/>
              </w:rPr>
            </w:pPr>
            <w:proofErr w:type="spellStart"/>
            <w:r w:rsidRPr="00726F56">
              <w:rPr>
                <w:b/>
                <w:sz w:val="22"/>
                <w:szCs w:val="22"/>
              </w:rPr>
              <w:lastRenderedPageBreak/>
              <w:t>i</w:t>
            </w:r>
            <w:proofErr w:type="spellEnd"/>
            <w:r w:rsidRPr="00726F56">
              <w:rPr>
                <w:b/>
                <w:sz w:val="22"/>
                <w:szCs w:val="22"/>
              </w:rPr>
              <w:t>)</w:t>
            </w:r>
          </w:p>
        </w:tc>
        <w:tc>
          <w:tcPr>
            <w:tcW w:w="7027" w:type="dxa"/>
          </w:tcPr>
          <w:p w:rsidR="00471B5A" w:rsidRPr="00726F56" w:rsidRDefault="006E56A5" w:rsidP="00726F56">
            <w:pPr>
              <w:jc w:val="both"/>
              <w:rPr>
                <w:sz w:val="22"/>
                <w:szCs w:val="22"/>
              </w:rPr>
            </w:pPr>
            <w:r w:rsidRPr="00726F56">
              <w:rPr>
                <w:sz w:val="22"/>
                <w:szCs w:val="22"/>
              </w:rPr>
              <w:t>Katie Scott,</w:t>
            </w:r>
            <w:r w:rsidR="00701B6E" w:rsidRPr="00726F56">
              <w:rPr>
                <w:sz w:val="22"/>
                <w:szCs w:val="22"/>
              </w:rPr>
              <w:t xml:space="preserve"> Manager, KPMG </w:t>
            </w:r>
            <w:r w:rsidR="00475C8B" w:rsidRPr="00726F56">
              <w:rPr>
                <w:sz w:val="22"/>
                <w:szCs w:val="22"/>
              </w:rPr>
              <w:t xml:space="preserve">apologised that some text was missing from the </w:t>
            </w:r>
            <w:r w:rsidR="00701B6E" w:rsidRPr="00726F56">
              <w:rPr>
                <w:sz w:val="22"/>
                <w:szCs w:val="22"/>
              </w:rPr>
              <w:t>Audit Plan</w:t>
            </w:r>
            <w:r w:rsidR="00475C8B" w:rsidRPr="00726F56">
              <w:rPr>
                <w:sz w:val="22"/>
                <w:szCs w:val="22"/>
              </w:rPr>
              <w:t xml:space="preserve"> and Strategy Document in the papers.  Donna Gibson had kindly emailed and placed on the Governor Portal a revised complete copy which </w:t>
            </w:r>
            <w:r w:rsidR="00DC0787" w:rsidRPr="00726F56">
              <w:rPr>
                <w:sz w:val="22"/>
                <w:szCs w:val="22"/>
              </w:rPr>
              <w:t>Members and attendees</w:t>
            </w:r>
            <w:r w:rsidR="00475C8B" w:rsidRPr="00726F56">
              <w:rPr>
                <w:sz w:val="22"/>
                <w:szCs w:val="22"/>
              </w:rPr>
              <w:t xml:space="preserve"> accessed at this point.  </w:t>
            </w:r>
            <w:r w:rsidR="005F1929" w:rsidRPr="00726F56">
              <w:rPr>
                <w:sz w:val="22"/>
                <w:szCs w:val="22"/>
              </w:rPr>
              <w:t xml:space="preserve">The </w:t>
            </w:r>
            <w:r w:rsidR="009D7B5D" w:rsidRPr="00726F56">
              <w:rPr>
                <w:sz w:val="22"/>
                <w:szCs w:val="22"/>
              </w:rPr>
              <w:t>Audit</w:t>
            </w:r>
            <w:r w:rsidR="005F1929" w:rsidRPr="00726F56">
              <w:rPr>
                <w:sz w:val="22"/>
                <w:szCs w:val="22"/>
              </w:rPr>
              <w:t xml:space="preserve"> Manager </w:t>
            </w:r>
            <w:r w:rsidR="00703A3D" w:rsidRPr="00726F56">
              <w:rPr>
                <w:sz w:val="22"/>
                <w:szCs w:val="22"/>
              </w:rPr>
              <w:t>summarised the Significant Risks (Revenue Recognition, Management override of controls and Pension valuation</w:t>
            </w:r>
            <w:r w:rsidR="00DC0787" w:rsidRPr="00726F56">
              <w:rPr>
                <w:sz w:val="22"/>
                <w:szCs w:val="22"/>
              </w:rPr>
              <w:t>)</w:t>
            </w:r>
            <w:r w:rsidR="00703A3D" w:rsidRPr="00726F56">
              <w:rPr>
                <w:sz w:val="22"/>
                <w:szCs w:val="22"/>
              </w:rPr>
              <w:t xml:space="preserve"> and </w:t>
            </w:r>
            <w:r w:rsidR="009D7B5D" w:rsidRPr="00726F56">
              <w:rPr>
                <w:sz w:val="22"/>
                <w:szCs w:val="22"/>
              </w:rPr>
              <w:t>other</w:t>
            </w:r>
            <w:r w:rsidR="00703A3D" w:rsidRPr="00726F56">
              <w:rPr>
                <w:sz w:val="22"/>
                <w:szCs w:val="22"/>
              </w:rPr>
              <w:t xml:space="preserve"> areas of </w:t>
            </w:r>
            <w:r w:rsidR="009D7B5D" w:rsidRPr="00726F56">
              <w:rPr>
                <w:sz w:val="22"/>
                <w:szCs w:val="22"/>
              </w:rPr>
              <w:t>audit</w:t>
            </w:r>
            <w:r w:rsidR="00703A3D" w:rsidRPr="00726F56">
              <w:rPr>
                <w:sz w:val="22"/>
                <w:szCs w:val="22"/>
              </w:rPr>
              <w:t xml:space="preserve"> focus (</w:t>
            </w:r>
            <w:r w:rsidR="009D7B5D" w:rsidRPr="00726F56">
              <w:rPr>
                <w:sz w:val="22"/>
                <w:szCs w:val="22"/>
              </w:rPr>
              <w:t>Overall</w:t>
            </w:r>
            <w:r w:rsidR="00703A3D" w:rsidRPr="00726F56">
              <w:rPr>
                <w:sz w:val="22"/>
                <w:szCs w:val="22"/>
              </w:rPr>
              <w:t xml:space="preserve"> financial position and going concern, </w:t>
            </w:r>
            <w:r w:rsidR="009D7B5D" w:rsidRPr="00726F56">
              <w:rPr>
                <w:sz w:val="22"/>
                <w:szCs w:val="22"/>
              </w:rPr>
              <w:t>Estates</w:t>
            </w:r>
            <w:r w:rsidR="00703A3D" w:rsidRPr="00726F56">
              <w:rPr>
                <w:sz w:val="22"/>
                <w:szCs w:val="22"/>
              </w:rPr>
              <w:t xml:space="preserve"> valuation, </w:t>
            </w:r>
            <w:r w:rsidR="009D7B5D" w:rsidRPr="00726F56">
              <w:rPr>
                <w:sz w:val="22"/>
                <w:szCs w:val="22"/>
              </w:rPr>
              <w:t>Partner</w:t>
            </w:r>
            <w:r w:rsidR="00703A3D" w:rsidRPr="00726F56">
              <w:rPr>
                <w:sz w:val="22"/>
                <w:szCs w:val="22"/>
              </w:rPr>
              <w:t xml:space="preserve"> expenditure and accruals and </w:t>
            </w:r>
            <w:r w:rsidR="009D7B5D" w:rsidRPr="00726F56">
              <w:rPr>
                <w:sz w:val="22"/>
                <w:szCs w:val="22"/>
              </w:rPr>
              <w:t>Regularity</w:t>
            </w:r>
            <w:r w:rsidR="009D7B5D">
              <w:rPr>
                <w:sz w:val="22"/>
                <w:szCs w:val="22"/>
              </w:rPr>
              <w:t>)</w:t>
            </w:r>
            <w:r w:rsidR="00703A3D" w:rsidRPr="00726F56">
              <w:rPr>
                <w:sz w:val="22"/>
                <w:szCs w:val="22"/>
              </w:rPr>
              <w:t>.  Materiality was set at £500k with a reporting threshold at £</w:t>
            </w:r>
            <w:r w:rsidR="009D7B5D" w:rsidRPr="00726F56">
              <w:rPr>
                <w:sz w:val="22"/>
                <w:szCs w:val="22"/>
              </w:rPr>
              <w:t>25k and</w:t>
            </w:r>
            <w:r w:rsidR="00703A3D" w:rsidRPr="00726F56">
              <w:rPr>
                <w:sz w:val="22"/>
                <w:szCs w:val="22"/>
              </w:rPr>
              <w:t xml:space="preserve"> changes to Financial Statements being required at £375k.  The interim audit would take place in July and the final in October 2019. The key risks and controls were similar to those in the previous year.  The Senior Manager and Manager </w:t>
            </w:r>
            <w:r w:rsidR="00DC0787" w:rsidRPr="00726F56">
              <w:rPr>
                <w:sz w:val="22"/>
                <w:szCs w:val="22"/>
              </w:rPr>
              <w:t>would provide</w:t>
            </w:r>
            <w:r w:rsidR="00703A3D" w:rsidRPr="00726F56">
              <w:rPr>
                <w:sz w:val="22"/>
                <w:szCs w:val="22"/>
              </w:rPr>
              <w:t xml:space="preserve"> continuity with a new Audit In Charge.</w:t>
            </w:r>
          </w:p>
        </w:tc>
        <w:tc>
          <w:tcPr>
            <w:tcW w:w="1244" w:type="dxa"/>
          </w:tcPr>
          <w:p w:rsidR="00471B5A" w:rsidRPr="00726F56" w:rsidRDefault="00471B5A" w:rsidP="00726F56">
            <w:pPr>
              <w:pStyle w:val="NoSpacing"/>
              <w:jc w:val="both"/>
              <w:rPr>
                <w:b/>
                <w:sz w:val="22"/>
                <w:szCs w:val="22"/>
              </w:rPr>
            </w:pPr>
          </w:p>
        </w:tc>
      </w:tr>
      <w:tr w:rsidR="00703A3D" w:rsidRPr="00726F56" w:rsidTr="004562FD">
        <w:trPr>
          <w:jc w:val="center"/>
        </w:trPr>
        <w:tc>
          <w:tcPr>
            <w:tcW w:w="767" w:type="dxa"/>
          </w:tcPr>
          <w:p w:rsidR="00703A3D" w:rsidRPr="00726F56" w:rsidRDefault="00703A3D" w:rsidP="00726F56">
            <w:pPr>
              <w:jc w:val="both"/>
              <w:rPr>
                <w:b/>
                <w:sz w:val="22"/>
                <w:szCs w:val="22"/>
              </w:rPr>
            </w:pPr>
          </w:p>
        </w:tc>
        <w:tc>
          <w:tcPr>
            <w:tcW w:w="7027" w:type="dxa"/>
          </w:tcPr>
          <w:p w:rsidR="00703A3D" w:rsidRPr="00726F56" w:rsidRDefault="00703A3D" w:rsidP="00726F56">
            <w:pPr>
              <w:jc w:val="both"/>
              <w:rPr>
                <w:color w:val="FF0000"/>
                <w:sz w:val="22"/>
                <w:szCs w:val="22"/>
              </w:rPr>
            </w:pPr>
          </w:p>
        </w:tc>
        <w:tc>
          <w:tcPr>
            <w:tcW w:w="1244" w:type="dxa"/>
          </w:tcPr>
          <w:p w:rsidR="00703A3D" w:rsidRPr="00726F56" w:rsidRDefault="00703A3D" w:rsidP="00726F56">
            <w:pPr>
              <w:pStyle w:val="NoSpacing"/>
              <w:jc w:val="both"/>
              <w:rPr>
                <w:b/>
                <w:sz w:val="22"/>
                <w:szCs w:val="22"/>
              </w:rPr>
            </w:pPr>
          </w:p>
        </w:tc>
      </w:tr>
      <w:tr w:rsidR="00703A3D" w:rsidRPr="00726F56" w:rsidTr="004562FD">
        <w:trPr>
          <w:jc w:val="center"/>
        </w:trPr>
        <w:tc>
          <w:tcPr>
            <w:tcW w:w="767" w:type="dxa"/>
          </w:tcPr>
          <w:p w:rsidR="00703A3D" w:rsidRPr="00726F56" w:rsidRDefault="00AB4330" w:rsidP="00726F56">
            <w:pPr>
              <w:jc w:val="both"/>
              <w:rPr>
                <w:b/>
                <w:sz w:val="22"/>
                <w:szCs w:val="22"/>
              </w:rPr>
            </w:pPr>
            <w:r>
              <w:rPr>
                <w:b/>
                <w:sz w:val="22"/>
                <w:szCs w:val="22"/>
              </w:rPr>
              <w:t>ii)</w:t>
            </w:r>
          </w:p>
        </w:tc>
        <w:tc>
          <w:tcPr>
            <w:tcW w:w="7027" w:type="dxa"/>
          </w:tcPr>
          <w:p w:rsidR="00703A3D" w:rsidRPr="00726F56" w:rsidRDefault="00703A3D" w:rsidP="007D3076">
            <w:pPr>
              <w:jc w:val="both"/>
              <w:rPr>
                <w:sz w:val="22"/>
                <w:szCs w:val="22"/>
              </w:rPr>
            </w:pPr>
            <w:r w:rsidRPr="00726F56">
              <w:rPr>
                <w:sz w:val="22"/>
                <w:szCs w:val="22"/>
              </w:rPr>
              <w:t xml:space="preserve">The Audit Manager explained that there was a proposed increase in the fee of £1.5 – 2k because </w:t>
            </w:r>
            <w:r w:rsidR="00C76C20" w:rsidRPr="00726F56">
              <w:rPr>
                <w:sz w:val="22"/>
                <w:szCs w:val="22"/>
              </w:rPr>
              <w:t>the</w:t>
            </w:r>
            <w:r w:rsidRPr="00726F56">
              <w:rPr>
                <w:sz w:val="22"/>
                <w:szCs w:val="22"/>
              </w:rPr>
              <w:t xml:space="preserve"> disclosure changes to bring the </w:t>
            </w:r>
            <w:r w:rsidRPr="00726F56">
              <w:rPr>
                <w:rFonts w:eastAsiaTheme="minorHAnsi"/>
                <w:bCs/>
                <w:sz w:val="22"/>
                <w:szCs w:val="22"/>
              </w:rPr>
              <w:t xml:space="preserve">Further </w:t>
            </w:r>
            <w:r w:rsidR="009D7B5D" w:rsidRPr="00726F56">
              <w:rPr>
                <w:rFonts w:eastAsiaTheme="minorHAnsi"/>
                <w:bCs/>
                <w:sz w:val="22"/>
                <w:szCs w:val="22"/>
              </w:rPr>
              <w:t xml:space="preserve">Education </w:t>
            </w:r>
            <w:r w:rsidR="009D7B5D" w:rsidRPr="00726F56">
              <w:rPr>
                <w:sz w:val="22"/>
                <w:szCs w:val="22"/>
              </w:rPr>
              <w:t>sector</w:t>
            </w:r>
            <w:r w:rsidRPr="00726F56">
              <w:rPr>
                <w:sz w:val="22"/>
                <w:szCs w:val="22"/>
              </w:rPr>
              <w:t xml:space="preserve"> more into line with the </w:t>
            </w:r>
            <w:r w:rsidR="00C76C20" w:rsidRPr="00726F56">
              <w:rPr>
                <w:sz w:val="22"/>
                <w:szCs w:val="22"/>
              </w:rPr>
              <w:t>Higher Education</w:t>
            </w:r>
            <w:r w:rsidRPr="00726F56">
              <w:rPr>
                <w:sz w:val="22"/>
                <w:szCs w:val="22"/>
              </w:rPr>
              <w:t xml:space="preserve"> sector</w:t>
            </w:r>
            <w:r w:rsidR="00C76C20" w:rsidRPr="00726F56">
              <w:rPr>
                <w:sz w:val="22"/>
                <w:szCs w:val="22"/>
              </w:rPr>
              <w:t xml:space="preserve"> would create more audit work.  The Chair was surprised at this</w:t>
            </w:r>
            <w:r w:rsidR="00DC0787" w:rsidRPr="00726F56">
              <w:rPr>
                <w:sz w:val="22"/>
                <w:szCs w:val="22"/>
              </w:rPr>
              <w:t xml:space="preserve">.  </w:t>
            </w:r>
            <w:r w:rsidR="00C76C20" w:rsidRPr="00726F56">
              <w:rPr>
                <w:sz w:val="22"/>
                <w:szCs w:val="22"/>
              </w:rPr>
              <w:t xml:space="preserve"> KPMG had </w:t>
            </w:r>
            <w:r w:rsidR="009D7B5D" w:rsidRPr="00726F56">
              <w:rPr>
                <w:sz w:val="22"/>
                <w:szCs w:val="22"/>
              </w:rPr>
              <w:t>proposed</w:t>
            </w:r>
            <w:r w:rsidR="00C76C20" w:rsidRPr="00726F56">
              <w:rPr>
                <w:sz w:val="22"/>
                <w:szCs w:val="22"/>
              </w:rPr>
              <w:t xml:space="preserve"> a fixed fee upon appointment</w:t>
            </w:r>
            <w:r w:rsidR="00DC0787" w:rsidRPr="00726F56">
              <w:rPr>
                <w:sz w:val="22"/>
                <w:szCs w:val="22"/>
              </w:rPr>
              <w:t xml:space="preserve"> and the </w:t>
            </w:r>
            <w:r w:rsidR="00C76C20" w:rsidRPr="00726F56">
              <w:rPr>
                <w:sz w:val="22"/>
                <w:szCs w:val="22"/>
              </w:rPr>
              <w:t xml:space="preserve">work in disclosure of salaries for higher paid staff would sit with the </w:t>
            </w:r>
            <w:r w:rsidR="00DC0787" w:rsidRPr="00726F56">
              <w:rPr>
                <w:sz w:val="22"/>
                <w:szCs w:val="22"/>
              </w:rPr>
              <w:t>Finance</w:t>
            </w:r>
            <w:r w:rsidR="00C76C20" w:rsidRPr="00726F56">
              <w:rPr>
                <w:sz w:val="22"/>
                <w:szCs w:val="22"/>
              </w:rPr>
              <w:t xml:space="preserve"> Team</w:t>
            </w:r>
            <w:r w:rsidR="00DC0787" w:rsidRPr="00726F56">
              <w:rPr>
                <w:sz w:val="22"/>
                <w:szCs w:val="22"/>
              </w:rPr>
              <w:t xml:space="preserve">.  The Audit Manager explained that the key issue experienced in Higher Education had been the need to identify the median staff member in terms of full time equivalent salary for current and prior years which was a large exercise for management which </w:t>
            </w:r>
            <w:r w:rsidR="009D7B5D" w:rsidRPr="00726F56">
              <w:rPr>
                <w:sz w:val="22"/>
                <w:szCs w:val="22"/>
              </w:rPr>
              <w:t>auditors</w:t>
            </w:r>
            <w:r w:rsidR="00DC0787" w:rsidRPr="00726F56">
              <w:rPr>
                <w:sz w:val="22"/>
                <w:szCs w:val="22"/>
              </w:rPr>
              <w:t xml:space="preserve"> would have to check.  A Governor/ </w:t>
            </w:r>
            <w:r w:rsidR="00DC0787" w:rsidRPr="00726F56">
              <w:rPr>
                <w:bCs/>
                <w:sz w:val="22"/>
                <w:szCs w:val="22"/>
              </w:rPr>
              <w:t>Vice Principal and Deputy Chief Executive</w:t>
            </w:r>
            <w:r w:rsidR="00DC0787" w:rsidRPr="00726F56">
              <w:rPr>
                <w:sz w:val="22"/>
                <w:szCs w:val="22"/>
              </w:rPr>
              <w:t xml:space="preserve"> Officer  asked why this was necessary and the </w:t>
            </w:r>
            <w:r w:rsidR="00C76C20" w:rsidRPr="00726F56">
              <w:rPr>
                <w:sz w:val="22"/>
                <w:szCs w:val="22"/>
              </w:rPr>
              <w:t xml:space="preserve"> </w:t>
            </w:r>
            <w:r w:rsidR="00DC0787" w:rsidRPr="00726F56">
              <w:rPr>
                <w:sz w:val="22"/>
                <w:szCs w:val="22"/>
              </w:rPr>
              <w:t xml:space="preserve">Audit manager said this was to ensure transparency but agreed that the median calculation did not add value and that text had to be added to the calculation and that consistency had to be ensured.  </w:t>
            </w:r>
            <w:r w:rsidR="0045249A" w:rsidRPr="00726F56">
              <w:rPr>
                <w:sz w:val="22"/>
                <w:szCs w:val="22"/>
              </w:rPr>
              <w:t xml:space="preserve">The Clerk to the Corporation clarified that the disclosure was not a result of the adoption of the Remuneration Code but that this was compliant with the new </w:t>
            </w:r>
            <w:r w:rsidR="009D7B5D" w:rsidRPr="00726F56">
              <w:rPr>
                <w:sz w:val="22"/>
                <w:szCs w:val="22"/>
              </w:rPr>
              <w:t>requirements</w:t>
            </w:r>
            <w:r w:rsidR="0045249A" w:rsidRPr="00726F56">
              <w:rPr>
                <w:sz w:val="22"/>
                <w:szCs w:val="22"/>
              </w:rPr>
              <w:t xml:space="preserve"> set out in the Education and Skills Funding Agency’s Accounts Direction.    </w:t>
            </w:r>
            <w:r w:rsidR="00DC0787" w:rsidRPr="00726F56">
              <w:rPr>
                <w:sz w:val="22"/>
                <w:szCs w:val="22"/>
              </w:rPr>
              <w:t xml:space="preserve">The </w:t>
            </w:r>
            <w:r w:rsidR="00DC0787" w:rsidRPr="00726F56">
              <w:rPr>
                <w:bCs/>
                <w:sz w:val="22"/>
                <w:szCs w:val="22"/>
              </w:rPr>
              <w:t>Vice Principal and Deputy Chief Executive</w:t>
            </w:r>
            <w:r w:rsidR="00DC0787" w:rsidRPr="00726F56">
              <w:rPr>
                <w:sz w:val="22"/>
                <w:szCs w:val="22"/>
              </w:rPr>
              <w:t xml:space="preserve"> Officer pointed out that the Finance Team would have to deliver this additional information</w:t>
            </w:r>
            <w:r w:rsidR="000E4AB3" w:rsidRPr="00726F56">
              <w:rPr>
                <w:sz w:val="22"/>
                <w:szCs w:val="22"/>
              </w:rPr>
              <w:t xml:space="preserve"> (which was complicated as </w:t>
            </w:r>
            <w:r w:rsidR="007D3076">
              <w:rPr>
                <w:sz w:val="22"/>
                <w:szCs w:val="22"/>
              </w:rPr>
              <w:t>many members of</w:t>
            </w:r>
            <w:r w:rsidR="000E4AB3" w:rsidRPr="00726F56">
              <w:rPr>
                <w:sz w:val="22"/>
                <w:szCs w:val="22"/>
              </w:rPr>
              <w:t xml:space="preserve"> the </w:t>
            </w:r>
            <w:r w:rsidR="007D3076" w:rsidRPr="00726F56">
              <w:rPr>
                <w:sz w:val="22"/>
                <w:szCs w:val="22"/>
              </w:rPr>
              <w:t xml:space="preserve">College </w:t>
            </w:r>
            <w:r w:rsidR="000E4AB3" w:rsidRPr="00726F56">
              <w:rPr>
                <w:sz w:val="22"/>
                <w:szCs w:val="22"/>
              </w:rPr>
              <w:t xml:space="preserve">workforce </w:t>
            </w:r>
            <w:r w:rsidR="007D3076">
              <w:rPr>
                <w:sz w:val="22"/>
                <w:szCs w:val="22"/>
              </w:rPr>
              <w:t xml:space="preserve">either had fractional appointments or </w:t>
            </w:r>
            <w:r w:rsidR="000E4AB3" w:rsidRPr="00726F56">
              <w:rPr>
                <w:sz w:val="22"/>
                <w:szCs w:val="22"/>
              </w:rPr>
              <w:t xml:space="preserve">multiple </w:t>
            </w:r>
            <w:r w:rsidR="007D3076">
              <w:rPr>
                <w:sz w:val="22"/>
                <w:szCs w:val="22"/>
              </w:rPr>
              <w:t>roles, both of which added to the work required to perform the calculations</w:t>
            </w:r>
            <w:r w:rsidR="000E4AB3" w:rsidRPr="00726F56">
              <w:rPr>
                <w:sz w:val="22"/>
                <w:szCs w:val="22"/>
              </w:rPr>
              <w:t xml:space="preserve">) </w:t>
            </w:r>
            <w:r w:rsidR="00DC0787" w:rsidRPr="00726F56">
              <w:rPr>
                <w:sz w:val="22"/>
                <w:szCs w:val="22"/>
              </w:rPr>
              <w:t xml:space="preserve">with less staff and </w:t>
            </w:r>
            <w:r w:rsidR="009D7B5D" w:rsidRPr="00726F56">
              <w:rPr>
                <w:sz w:val="22"/>
                <w:szCs w:val="22"/>
              </w:rPr>
              <w:t>resources</w:t>
            </w:r>
            <w:r w:rsidR="000E4AB3" w:rsidRPr="00726F56">
              <w:rPr>
                <w:sz w:val="22"/>
                <w:szCs w:val="22"/>
              </w:rPr>
              <w:t xml:space="preserve">.  The </w:t>
            </w:r>
            <w:r w:rsidR="007D3076" w:rsidRPr="007D3076">
              <w:rPr>
                <w:bCs/>
                <w:sz w:val="22"/>
                <w:szCs w:val="22"/>
              </w:rPr>
              <w:t>Director of Finance</w:t>
            </w:r>
            <w:r w:rsidR="000E4AB3" w:rsidRPr="00726F56">
              <w:rPr>
                <w:sz w:val="22"/>
                <w:szCs w:val="22"/>
              </w:rPr>
              <w:t xml:space="preserve"> stated that from </w:t>
            </w:r>
            <w:r w:rsidR="00DC0787" w:rsidRPr="00726F56">
              <w:rPr>
                <w:sz w:val="22"/>
                <w:szCs w:val="22"/>
              </w:rPr>
              <w:t>review</w:t>
            </w:r>
            <w:r w:rsidR="000E4AB3" w:rsidRPr="00726F56">
              <w:rPr>
                <w:sz w:val="22"/>
                <w:szCs w:val="22"/>
              </w:rPr>
              <w:t xml:space="preserve"> it </w:t>
            </w:r>
            <w:r w:rsidR="009D7B5D" w:rsidRPr="00726F56">
              <w:rPr>
                <w:sz w:val="22"/>
                <w:szCs w:val="22"/>
              </w:rPr>
              <w:t>appeared that</w:t>
            </w:r>
            <w:r w:rsidR="000E4AB3" w:rsidRPr="00726F56">
              <w:rPr>
                <w:sz w:val="22"/>
                <w:szCs w:val="22"/>
              </w:rPr>
              <w:t xml:space="preserve"> not all universities </w:t>
            </w:r>
            <w:r w:rsidR="00DC0787" w:rsidRPr="00726F56">
              <w:rPr>
                <w:sz w:val="22"/>
                <w:szCs w:val="22"/>
              </w:rPr>
              <w:t xml:space="preserve">had </w:t>
            </w:r>
            <w:r w:rsidR="000E4AB3" w:rsidRPr="00726F56">
              <w:rPr>
                <w:sz w:val="22"/>
                <w:szCs w:val="22"/>
              </w:rPr>
              <w:t>provided prior year information</w:t>
            </w:r>
            <w:r w:rsidR="00DC0787" w:rsidRPr="00726F56">
              <w:rPr>
                <w:sz w:val="22"/>
                <w:szCs w:val="22"/>
              </w:rPr>
              <w:t xml:space="preserve"> and asked if KPMG would give a </w:t>
            </w:r>
            <w:r w:rsidR="009D7B5D" w:rsidRPr="00726F56">
              <w:rPr>
                <w:sz w:val="22"/>
                <w:szCs w:val="22"/>
              </w:rPr>
              <w:t>qualified</w:t>
            </w:r>
            <w:r w:rsidR="00DC0787" w:rsidRPr="00726F56">
              <w:rPr>
                <w:sz w:val="22"/>
                <w:szCs w:val="22"/>
              </w:rPr>
              <w:t xml:space="preserve"> opinion on the Financial Statements without it.</w:t>
            </w:r>
            <w:r w:rsidR="000E4AB3" w:rsidRPr="00726F56">
              <w:rPr>
                <w:sz w:val="22"/>
                <w:szCs w:val="22"/>
              </w:rPr>
              <w:t xml:space="preserve">  </w:t>
            </w:r>
            <w:r w:rsidR="00481677">
              <w:rPr>
                <w:sz w:val="22"/>
                <w:szCs w:val="22"/>
              </w:rPr>
              <w:t>T</w:t>
            </w:r>
            <w:r w:rsidR="000E4AB3" w:rsidRPr="00726F56">
              <w:rPr>
                <w:sz w:val="22"/>
                <w:szCs w:val="22"/>
              </w:rPr>
              <w:t xml:space="preserve">he Audit Manager said that they would probably not, but that the guidance had been unclear and had </w:t>
            </w:r>
            <w:r w:rsidR="009D7B5D" w:rsidRPr="00726F56">
              <w:rPr>
                <w:sz w:val="22"/>
                <w:szCs w:val="22"/>
              </w:rPr>
              <w:t>necessitated</w:t>
            </w:r>
            <w:r w:rsidR="000E4AB3" w:rsidRPr="00726F56">
              <w:rPr>
                <w:sz w:val="22"/>
                <w:szCs w:val="22"/>
              </w:rPr>
              <w:t xml:space="preserve"> significantly more </w:t>
            </w:r>
            <w:r w:rsidR="009D7B5D" w:rsidRPr="00726F56">
              <w:rPr>
                <w:sz w:val="22"/>
                <w:szCs w:val="22"/>
              </w:rPr>
              <w:t>input</w:t>
            </w:r>
            <w:r w:rsidR="000E4AB3" w:rsidRPr="00726F56">
              <w:rPr>
                <w:sz w:val="22"/>
                <w:szCs w:val="22"/>
              </w:rPr>
              <w:t xml:space="preserve"> from the Director of Finance and Finance Team and had also </w:t>
            </w:r>
            <w:r w:rsidR="009D7B5D" w:rsidRPr="00726F56">
              <w:rPr>
                <w:sz w:val="22"/>
                <w:szCs w:val="22"/>
              </w:rPr>
              <w:t>involved</w:t>
            </w:r>
            <w:r w:rsidR="000E4AB3" w:rsidRPr="00726F56">
              <w:rPr>
                <w:sz w:val="22"/>
                <w:szCs w:val="22"/>
              </w:rPr>
              <w:t xml:space="preserve"> lots of  </w:t>
            </w:r>
            <w:r w:rsidR="009D7B5D" w:rsidRPr="00726F56">
              <w:rPr>
                <w:sz w:val="22"/>
                <w:szCs w:val="22"/>
              </w:rPr>
              <w:t>toing</w:t>
            </w:r>
            <w:r w:rsidR="000E4AB3" w:rsidRPr="00726F56">
              <w:rPr>
                <w:sz w:val="22"/>
                <w:szCs w:val="22"/>
              </w:rPr>
              <w:t xml:space="preserve"> and froing for the Auditors at Universities. There was considerable discussion over the point, purpose and value added of the additional disclosure compliance, given the </w:t>
            </w:r>
            <w:r w:rsidR="009D7B5D" w:rsidRPr="00726F56">
              <w:rPr>
                <w:sz w:val="22"/>
                <w:szCs w:val="22"/>
              </w:rPr>
              <w:t>internal</w:t>
            </w:r>
            <w:r w:rsidR="000E4AB3" w:rsidRPr="00726F56">
              <w:rPr>
                <w:sz w:val="22"/>
                <w:szCs w:val="22"/>
              </w:rPr>
              <w:t xml:space="preserve"> costs involved to the public purse.</w:t>
            </w:r>
          </w:p>
        </w:tc>
        <w:tc>
          <w:tcPr>
            <w:tcW w:w="1244" w:type="dxa"/>
          </w:tcPr>
          <w:p w:rsidR="00703A3D" w:rsidRPr="00726F56" w:rsidRDefault="00703A3D" w:rsidP="00726F56">
            <w:pPr>
              <w:pStyle w:val="NoSpacing"/>
              <w:jc w:val="both"/>
              <w:rPr>
                <w:b/>
                <w:sz w:val="22"/>
                <w:szCs w:val="22"/>
              </w:rPr>
            </w:pPr>
          </w:p>
        </w:tc>
      </w:tr>
      <w:tr w:rsidR="000E4AB3" w:rsidRPr="00726F56" w:rsidTr="004562FD">
        <w:trPr>
          <w:jc w:val="center"/>
        </w:trPr>
        <w:tc>
          <w:tcPr>
            <w:tcW w:w="767" w:type="dxa"/>
          </w:tcPr>
          <w:p w:rsidR="000E4AB3" w:rsidRPr="00726F56" w:rsidRDefault="000E4AB3" w:rsidP="00726F56">
            <w:pPr>
              <w:jc w:val="both"/>
              <w:rPr>
                <w:b/>
                <w:sz w:val="22"/>
                <w:szCs w:val="22"/>
              </w:rPr>
            </w:pPr>
          </w:p>
        </w:tc>
        <w:tc>
          <w:tcPr>
            <w:tcW w:w="7027" w:type="dxa"/>
          </w:tcPr>
          <w:p w:rsidR="000E4AB3" w:rsidRPr="00726F56" w:rsidRDefault="000E4AB3" w:rsidP="00726F56">
            <w:pPr>
              <w:jc w:val="both"/>
              <w:rPr>
                <w:sz w:val="22"/>
                <w:szCs w:val="22"/>
              </w:rPr>
            </w:pPr>
          </w:p>
        </w:tc>
        <w:tc>
          <w:tcPr>
            <w:tcW w:w="1244" w:type="dxa"/>
          </w:tcPr>
          <w:p w:rsidR="000E4AB3" w:rsidRPr="00726F56" w:rsidRDefault="000E4AB3" w:rsidP="00726F56">
            <w:pPr>
              <w:pStyle w:val="NoSpacing"/>
              <w:jc w:val="both"/>
              <w:rPr>
                <w:b/>
                <w:sz w:val="22"/>
                <w:szCs w:val="22"/>
              </w:rPr>
            </w:pPr>
          </w:p>
        </w:tc>
      </w:tr>
      <w:tr w:rsidR="000E4AB3" w:rsidRPr="00726F56" w:rsidTr="004562FD">
        <w:trPr>
          <w:jc w:val="center"/>
        </w:trPr>
        <w:tc>
          <w:tcPr>
            <w:tcW w:w="767" w:type="dxa"/>
          </w:tcPr>
          <w:p w:rsidR="000E4AB3" w:rsidRPr="00726F56" w:rsidRDefault="00AB4330" w:rsidP="00726F56">
            <w:pPr>
              <w:jc w:val="both"/>
              <w:rPr>
                <w:b/>
                <w:sz w:val="22"/>
                <w:szCs w:val="22"/>
              </w:rPr>
            </w:pPr>
            <w:r>
              <w:rPr>
                <w:b/>
                <w:sz w:val="22"/>
                <w:szCs w:val="22"/>
              </w:rPr>
              <w:t>iii)</w:t>
            </w:r>
          </w:p>
        </w:tc>
        <w:tc>
          <w:tcPr>
            <w:tcW w:w="7027" w:type="dxa"/>
          </w:tcPr>
          <w:p w:rsidR="000E4AB3" w:rsidRPr="00726F56" w:rsidRDefault="000E4AB3" w:rsidP="007D3076">
            <w:pPr>
              <w:jc w:val="both"/>
              <w:rPr>
                <w:sz w:val="22"/>
                <w:szCs w:val="22"/>
              </w:rPr>
            </w:pPr>
            <w:r w:rsidRPr="00726F56">
              <w:rPr>
                <w:sz w:val="22"/>
                <w:szCs w:val="22"/>
              </w:rPr>
              <w:t xml:space="preserve">The Clerk to the Corporation advised Members to separate </w:t>
            </w:r>
            <w:r w:rsidR="009D7B5D" w:rsidRPr="00726F56">
              <w:rPr>
                <w:sz w:val="22"/>
                <w:szCs w:val="22"/>
              </w:rPr>
              <w:t>the issue</w:t>
            </w:r>
            <w:r w:rsidRPr="00726F56">
              <w:rPr>
                <w:sz w:val="22"/>
                <w:szCs w:val="22"/>
              </w:rPr>
              <w:t xml:space="preserve"> of the perceived value of the information compared with the input required from the issue of the Audit Fee uplift requested.  KPMG had agreed a fixed fee for three years and the Clerk to the </w:t>
            </w:r>
            <w:r w:rsidR="009D7B5D" w:rsidRPr="00726F56">
              <w:rPr>
                <w:sz w:val="22"/>
                <w:szCs w:val="22"/>
              </w:rPr>
              <w:t>Corporation asked</w:t>
            </w:r>
            <w:r w:rsidRPr="00726F56">
              <w:rPr>
                <w:sz w:val="22"/>
                <w:szCs w:val="22"/>
              </w:rPr>
              <w:t xml:space="preserve"> the Audit manager</w:t>
            </w:r>
            <w:r w:rsidR="009D7B5D">
              <w:rPr>
                <w:sz w:val="22"/>
                <w:szCs w:val="22"/>
              </w:rPr>
              <w:t xml:space="preserve"> why this would not be held</w:t>
            </w:r>
            <w:r w:rsidRPr="00726F56">
              <w:rPr>
                <w:sz w:val="22"/>
                <w:szCs w:val="22"/>
              </w:rPr>
              <w:t xml:space="preserve"> given that </w:t>
            </w:r>
            <w:r w:rsidRPr="00726F56">
              <w:rPr>
                <w:rFonts w:eastAsiaTheme="minorHAnsi"/>
                <w:bCs/>
                <w:sz w:val="22"/>
                <w:szCs w:val="22"/>
              </w:rPr>
              <w:t xml:space="preserve">Further </w:t>
            </w:r>
            <w:r w:rsidR="009D7B5D" w:rsidRPr="00726F56">
              <w:rPr>
                <w:rFonts w:eastAsiaTheme="minorHAnsi"/>
                <w:bCs/>
                <w:sz w:val="22"/>
                <w:szCs w:val="22"/>
              </w:rPr>
              <w:t xml:space="preserve">Education </w:t>
            </w:r>
            <w:r w:rsidR="009D7B5D" w:rsidRPr="00726F56">
              <w:rPr>
                <w:sz w:val="22"/>
                <w:szCs w:val="22"/>
              </w:rPr>
              <w:t>was</w:t>
            </w:r>
            <w:r w:rsidRPr="00726F56">
              <w:rPr>
                <w:sz w:val="22"/>
                <w:szCs w:val="22"/>
              </w:rPr>
              <w:t xml:space="preserve"> a sector in </w:t>
            </w:r>
            <w:r w:rsidR="009D7B5D" w:rsidRPr="00726F56">
              <w:rPr>
                <w:sz w:val="22"/>
                <w:szCs w:val="22"/>
              </w:rPr>
              <w:t>constant</w:t>
            </w:r>
            <w:r w:rsidRPr="00726F56">
              <w:rPr>
                <w:sz w:val="22"/>
                <w:szCs w:val="22"/>
              </w:rPr>
              <w:t xml:space="preserve"> change. The Audit Manager stated that this was a change in scope and so would require additional fees </w:t>
            </w:r>
            <w:r w:rsidR="00526D96" w:rsidRPr="00726F56">
              <w:rPr>
                <w:sz w:val="22"/>
                <w:szCs w:val="22"/>
              </w:rPr>
              <w:lastRenderedPageBreak/>
              <w:t xml:space="preserve">and that a breakdown could be provided of the additional input hours.  The </w:t>
            </w:r>
            <w:r w:rsidR="00526D96" w:rsidRPr="00726F56">
              <w:rPr>
                <w:bCs/>
                <w:sz w:val="22"/>
                <w:szCs w:val="22"/>
              </w:rPr>
              <w:t>Vice Principal and Deputy Chief Executive</w:t>
            </w:r>
            <w:r w:rsidR="00526D96" w:rsidRPr="00726F56">
              <w:rPr>
                <w:sz w:val="22"/>
                <w:szCs w:val="22"/>
              </w:rPr>
              <w:t xml:space="preserve"> Officer would raise both issues at the Finance Directors Group, attended by the Association of Colleges’ Julian Gravatt and would report </w:t>
            </w:r>
            <w:r w:rsidR="009D7B5D" w:rsidRPr="00726F56">
              <w:rPr>
                <w:sz w:val="22"/>
                <w:szCs w:val="22"/>
              </w:rPr>
              <w:t>back</w:t>
            </w:r>
            <w:r w:rsidR="00526D96" w:rsidRPr="00726F56">
              <w:rPr>
                <w:sz w:val="22"/>
                <w:szCs w:val="22"/>
              </w:rPr>
              <w:t xml:space="preserve"> to the Corporation meeting </w:t>
            </w:r>
            <w:r w:rsidR="007D3076" w:rsidRPr="00726F56">
              <w:rPr>
                <w:sz w:val="22"/>
                <w:szCs w:val="22"/>
              </w:rPr>
              <w:t>on other</w:t>
            </w:r>
            <w:r w:rsidR="007D3076">
              <w:rPr>
                <w:sz w:val="22"/>
                <w:szCs w:val="22"/>
              </w:rPr>
              <w:t xml:space="preserve"> audit firms’ approach from the members of that group.  </w:t>
            </w:r>
            <w:r w:rsidR="00526D96" w:rsidRPr="00726F56">
              <w:rPr>
                <w:sz w:val="22"/>
                <w:szCs w:val="22"/>
              </w:rPr>
              <w:t xml:space="preserve"> </w:t>
            </w:r>
            <w:r w:rsidRPr="00726F56">
              <w:rPr>
                <w:sz w:val="22"/>
                <w:szCs w:val="22"/>
              </w:rPr>
              <w:t xml:space="preserve"> </w:t>
            </w:r>
          </w:p>
        </w:tc>
        <w:tc>
          <w:tcPr>
            <w:tcW w:w="1244" w:type="dxa"/>
          </w:tcPr>
          <w:p w:rsidR="000E4AB3" w:rsidRPr="00726F56" w:rsidRDefault="000E4AB3" w:rsidP="00726F56">
            <w:pPr>
              <w:pStyle w:val="NoSpacing"/>
              <w:jc w:val="both"/>
              <w:rPr>
                <w:b/>
                <w:sz w:val="22"/>
                <w:szCs w:val="22"/>
              </w:rPr>
            </w:pPr>
          </w:p>
        </w:tc>
      </w:tr>
      <w:tr w:rsidR="00526D96" w:rsidRPr="00726F56" w:rsidTr="004562FD">
        <w:trPr>
          <w:jc w:val="center"/>
        </w:trPr>
        <w:tc>
          <w:tcPr>
            <w:tcW w:w="767" w:type="dxa"/>
          </w:tcPr>
          <w:p w:rsidR="00526D96" w:rsidRPr="00726F56" w:rsidRDefault="00526D96" w:rsidP="00726F56">
            <w:pPr>
              <w:jc w:val="both"/>
              <w:rPr>
                <w:b/>
                <w:sz w:val="22"/>
                <w:szCs w:val="22"/>
              </w:rPr>
            </w:pPr>
          </w:p>
        </w:tc>
        <w:tc>
          <w:tcPr>
            <w:tcW w:w="7027" w:type="dxa"/>
          </w:tcPr>
          <w:p w:rsidR="00526D96" w:rsidRPr="00726F56" w:rsidRDefault="00526D96" w:rsidP="00726F56">
            <w:pPr>
              <w:jc w:val="both"/>
              <w:rPr>
                <w:sz w:val="22"/>
                <w:szCs w:val="22"/>
              </w:rPr>
            </w:pPr>
          </w:p>
        </w:tc>
        <w:tc>
          <w:tcPr>
            <w:tcW w:w="1244" w:type="dxa"/>
          </w:tcPr>
          <w:p w:rsidR="00526D96" w:rsidRPr="00726F56" w:rsidRDefault="00526D96" w:rsidP="00726F56">
            <w:pPr>
              <w:pStyle w:val="NoSpacing"/>
              <w:jc w:val="both"/>
              <w:rPr>
                <w:b/>
                <w:sz w:val="22"/>
                <w:szCs w:val="22"/>
              </w:rPr>
            </w:pPr>
          </w:p>
        </w:tc>
      </w:tr>
      <w:tr w:rsidR="00471B5A" w:rsidRPr="00726F56" w:rsidTr="004562FD">
        <w:trPr>
          <w:jc w:val="center"/>
        </w:trPr>
        <w:tc>
          <w:tcPr>
            <w:tcW w:w="767" w:type="dxa"/>
          </w:tcPr>
          <w:p w:rsidR="00471B5A" w:rsidRPr="00726F56" w:rsidRDefault="00AB4330" w:rsidP="00726F56">
            <w:pPr>
              <w:jc w:val="both"/>
              <w:rPr>
                <w:b/>
                <w:sz w:val="22"/>
                <w:szCs w:val="22"/>
              </w:rPr>
            </w:pPr>
            <w:r>
              <w:rPr>
                <w:b/>
                <w:sz w:val="22"/>
                <w:szCs w:val="22"/>
              </w:rPr>
              <w:t>iv)</w:t>
            </w:r>
          </w:p>
        </w:tc>
        <w:tc>
          <w:tcPr>
            <w:tcW w:w="7027" w:type="dxa"/>
          </w:tcPr>
          <w:p w:rsidR="000E4AB3" w:rsidRPr="00726F56" w:rsidRDefault="00471B5A" w:rsidP="00726F56">
            <w:pPr>
              <w:jc w:val="both"/>
              <w:rPr>
                <w:sz w:val="22"/>
                <w:szCs w:val="22"/>
              </w:rPr>
            </w:pPr>
            <w:r w:rsidRPr="00726F56">
              <w:rPr>
                <w:sz w:val="22"/>
                <w:szCs w:val="22"/>
              </w:rPr>
              <w:t>The Audit Committee</w:t>
            </w:r>
            <w:r w:rsidR="000E4AB3" w:rsidRPr="00726F56">
              <w:rPr>
                <w:sz w:val="22"/>
                <w:szCs w:val="22"/>
              </w:rPr>
              <w:t>:</w:t>
            </w:r>
          </w:p>
          <w:p w:rsidR="00526D96" w:rsidRPr="00726F56" w:rsidRDefault="00471B5A" w:rsidP="00726F56">
            <w:pPr>
              <w:pStyle w:val="ListParagraph"/>
              <w:numPr>
                <w:ilvl w:val="0"/>
                <w:numId w:val="38"/>
              </w:numPr>
              <w:jc w:val="both"/>
              <w:rPr>
                <w:b/>
                <w:sz w:val="22"/>
                <w:szCs w:val="22"/>
              </w:rPr>
            </w:pPr>
            <w:r w:rsidRPr="00726F56">
              <w:rPr>
                <w:b/>
                <w:bCs/>
                <w:sz w:val="22"/>
                <w:szCs w:val="22"/>
              </w:rPr>
              <w:t>CONSIDERED</w:t>
            </w:r>
            <w:r w:rsidRPr="00726F56">
              <w:rPr>
                <w:sz w:val="22"/>
                <w:szCs w:val="22"/>
              </w:rPr>
              <w:t xml:space="preserve"> </w:t>
            </w:r>
            <w:r w:rsidRPr="00726F56">
              <w:rPr>
                <w:bCs/>
                <w:sz w:val="22"/>
                <w:szCs w:val="22"/>
              </w:rPr>
              <w:t>the scope and objectives of the work of the external</w:t>
            </w:r>
            <w:r w:rsidRPr="00726F56">
              <w:rPr>
                <w:sz w:val="22"/>
                <w:szCs w:val="22"/>
              </w:rPr>
              <w:t xml:space="preserve"> auditor</w:t>
            </w:r>
          </w:p>
          <w:p w:rsidR="00526D96" w:rsidRPr="00726F56" w:rsidRDefault="000E4AB3" w:rsidP="00726F56">
            <w:pPr>
              <w:pStyle w:val="ListParagraph"/>
              <w:numPr>
                <w:ilvl w:val="0"/>
                <w:numId w:val="38"/>
              </w:numPr>
              <w:jc w:val="both"/>
              <w:rPr>
                <w:b/>
                <w:sz w:val="22"/>
                <w:szCs w:val="22"/>
              </w:rPr>
            </w:pPr>
            <w:r w:rsidRPr="00726F56">
              <w:rPr>
                <w:b/>
                <w:bCs/>
                <w:sz w:val="22"/>
                <w:szCs w:val="22"/>
              </w:rPr>
              <w:t xml:space="preserve">REQUESTED </w:t>
            </w:r>
            <w:r w:rsidRPr="00726F56">
              <w:rPr>
                <w:bCs/>
                <w:sz w:val="22"/>
                <w:szCs w:val="22"/>
              </w:rPr>
              <w:t>that KPMG and management agreed an approach which met KPMG’s requirements at minimum cost in terms of staff input</w:t>
            </w:r>
            <w:r w:rsidRPr="00726F56">
              <w:rPr>
                <w:b/>
                <w:bCs/>
                <w:sz w:val="22"/>
                <w:szCs w:val="22"/>
              </w:rPr>
              <w:t xml:space="preserve"> </w:t>
            </w:r>
            <w:r w:rsidR="00471B5A" w:rsidRPr="00726F56">
              <w:rPr>
                <w:sz w:val="22"/>
                <w:szCs w:val="22"/>
              </w:rPr>
              <w:t xml:space="preserve"> </w:t>
            </w:r>
          </w:p>
          <w:p w:rsidR="00471B5A" w:rsidRPr="00726F56" w:rsidRDefault="00471B5A" w:rsidP="00726F56">
            <w:pPr>
              <w:pStyle w:val="ListParagraph"/>
              <w:numPr>
                <w:ilvl w:val="0"/>
                <w:numId w:val="38"/>
              </w:numPr>
              <w:jc w:val="both"/>
              <w:rPr>
                <w:b/>
                <w:sz w:val="22"/>
                <w:szCs w:val="22"/>
              </w:rPr>
            </w:pPr>
            <w:r w:rsidRPr="00726F56">
              <w:rPr>
                <w:b/>
                <w:bCs/>
                <w:sz w:val="22"/>
                <w:szCs w:val="22"/>
              </w:rPr>
              <w:t>AGREED TO RECOMMEND</w:t>
            </w:r>
            <w:r w:rsidRPr="00726F56">
              <w:rPr>
                <w:sz w:val="22"/>
                <w:szCs w:val="22"/>
              </w:rPr>
              <w:t xml:space="preserve"> the Audit plan and strategy </w:t>
            </w:r>
            <w:r w:rsidR="00AB34F2" w:rsidRPr="00726F56">
              <w:rPr>
                <w:sz w:val="22"/>
                <w:szCs w:val="22"/>
              </w:rPr>
              <w:t>for the year ending 31 July 2019</w:t>
            </w:r>
            <w:r w:rsidRPr="00726F56">
              <w:rPr>
                <w:sz w:val="22"/>
                <w:szCs w:val="22"/>
              </w:rPr>
              <w:t xml:space="preserve"> </w:t>
            </w:r>
            <w:r w:rsidR="00526D96" w:rsidRPr="00726F56">
              <w:rPr>
                <w:sz w:val="22"/>
                <w:szCs w:val="22"/>
              </w:rPr>
              <w:t>to the Corporation for approval</w:t>
            </w:r>
          </w:p>
          <w:p w:rsidR="00526D96" w:rsidRPr="00726F56" w:rsidRDefault="00526D96" w:rsidP="00726F56">
            <w:pPr>
              <w:pStyle w:val="ListParagraph"/>
              <w:numPr>
                <w:ilvl w:val="0"/>
                <w:numId w:val="38"/>
              </w:numPr>
              <w:jc w:val="both"/>
              <w:rPr>
                <w:sz w:val="22"/>
                <w:szCs w:val="22"/>
              </w:rPr>
            </w:pPr>
            <w:r w:rsidRPr="00726F56">
              <w:rPr>
                <w:b/>
                <w:bCs/>
                <w:sz w:val="22"/>
                <w:szCs w:val="22"/>
              </w:rPr>
              <w:t xml:space="preserve">AGREED </w:t>
            </w:r>
            <w:r w:rsidRPr="00726F56">
              <w:rPr>
                <w:bCs/>
                <w:sz w:val="22"/>
                <w:szCs w:val="22"/>
              </w:rPr>
              <w:t>that the agreed fixed fee should not be reviewed until feedback had been provided by the</w:t>
            </w:r>
            <w:r w:rsidRPr="00726F56">
              <w:rPr>
                <w:b/>
                <w:bCs/>
                <w:sz w:val="22"/>
                <w:szCs w:val="22"/>
              </w:rPr>
              <w:t xml:space="preserve"> </w:t>
            </w:r>
            <w:r w:rsidRPr="00726F56">
              <w:rPr>
                <w:bCs/>
                <w:sz w:val="22"/>
                <w:szCs w:val="22"/>
              </w:rPr>
              <w:t>Vice Principal and Deputy Chief Executive</w:t>
            </w:r>
            <w:r w:rsidRPr="00726F56">
              <w:rPr>
                <w:sz w:val="22"/>
                <w:szCs w:val="22"/>
              </w:rPr>
              <w:t xml:space="preserve"> Officer to the Corporation on 16 July 2019 </w:t>
            </w:r>
          </w:p>
        </w:tc>
        <w:tc>
          <w:tcPr>
            <w:tcW w:w="1244" w:type="dxa"/>
          </w:tcPr>
          <w:p w:rsidR="00471B5A" w:rsidRPr="00726F56" w:rsidRDefault="00471B5A" w:rsidP="00726F56">
            <w:pPr>
              <w:pStyle w:val="NoSpacing"/>
              <w:jc w:val="both"/>
              <w:rPr>
                <w:b/>
                <w:sz w:val="22"/>
                <w:szCs w:val="22"/>
              </w:rPr>
            </w:pPr>
          </w:p>
          <w:p w:rsidR="00526D96" w:rsidRPr="00726F56" w:rsidRDefault="00526D96" w:rsidP="00726F56">
            <w:pPr>
              <w:pStyle w:val="NoSpacing"/>
              <w:jc w:val="both"/>
              <w:rPr>
                <w:b/>
                <w:sz w:val="22"/>
                <w:szCs w:val="22"/>
              </w:rPr>
            </w:pPr>
          </w:p>
          <w:p w:rsidR="00526D96" w:rsidRPr="00726F56" w:rsidRDefault="00526D96" w:rsidP="00726F56">
            <w:pPr>
              <w:pStyle w:val="NoSpacing"/>
              <w:jc w:val="both"/>
              <w:rPr>
                <w:b/>
                <w:sz w:val="22"/>
                <w:szCs w:val="22"/>
              </w:rPr>
            </w:pPr>
          </w:p>
          <w:p w:rsidR="00526D96" w:rsidRPr="00726F56" w:rsidRDefault="00526D96" w:rsidP="00726F56">
            <w:pPr>
              <w:pStyle w:val="NoSpacing"/>
              <w:jc w:val="both"/>
              <w:rPr>
                <w:b/>
                <w:sz w:val="22"/>
                <w:szCs w:val="22"/>
              </w:rPr>
            </w:pPr>
            <w:r w:rsidRPr="00726F56">
              <w:rPr>
                <w:b/>
                <w:sz w:val="22"/>
                <w:szCs w:val="22"/>
              </w:rPr>
              <w:t>KPMG/</w:t>
            </w:r>
          </w:p>
          <w:p w:rsidR="00526D96" w:rsidRPr="00726F56" w:rsidRDefault="00526D96" w:rsidP="00726F56">
            <w:pPr>
              <w:pStyle w:val="NoSpacing"/>
              <w:jc w:val="both"/>
              <w:rPr>
                <w:b/>
                <w:sz w:val="22"/>
                <w:szCs w:val="22"/>
              </w:rPr>
            </w:pPr>
            <w:r w:rsidRPr="00726F56">
              <w:rPr>
                <w:b/>
                <w:sz w:val="22"/>
                <w:szCs w:val="22"/>
              </w:rPr>
              <w:t>VPDCEO</w:t>
            </w:r>
          </w:p>
          <w:p w:rsidR="00526D96" w:rsidRPr="00726F56" w:rsidRDefault="00526D96" w:rsidP="00726F56">
            <w:pPr>
              <w:pStyle w:val="NoSpacing"/>
              <w:jc w:val="both"/>
              <w:rPr>
                <w:b/>
                <w:sz w:val="22"/>
                <w:szCs w:val="22"/>
              </w:rPr>
            </w:pPr>
          </w:p>
          <w:p w:rsidR="00526D96" w:rsidRPr="00726F56" w:rsidRDefault="00526D96" w:rsidP="00726F56">
            <w:pPr>
              <w:pStyle w:val="NoSpacing"/>
              <w:jc w:val="both"/>
              <w:rPr>
                <w:b/>
                <w:sz w:val="22"/>
                <w:szCs w:val="22"/>
              </w:rPr>
            </w:pPr>
            <w:r w:rsidRPr="00726F56">
              <w:rPr>
                <w:b/>
                <w:sz w:val="22"/>
                <w:szCs w:val="22"/>
              </w:rPr>
              <w:t>CC</w:t>
            </w:r>
          </w:p>
          <w:p w:rsidR="00526D96" w:rsidRPr="00726F56" w:rsidRDefault="00526D96" w:rsidP="00726F56">
            <w:pPr>
              <w:pStyle w:val="NoSpacing"/>
              <w:jc w:val="both"/>
              <w:rPr>
                <w:b/>
                <w:sz w:val="22"/>
                <w:szCs w:val="22"/>
              </w:rPr>
            </w:pPr>
          </w:p>
          <w:p w:rsidR="00526D96" w:rsidRPr="00726F56" w:rsidRDefault="00526D96" w:rsidP="00726F56">
            <w:pPr>
              <w:pStyle w:val="NoSpacing"/>
              <w:jc w:val="both"/>
              <w:rPr>
                <w:b/>
                <w:sz w:val="22"/>
                <w:szCs w:val="22"/>
              </w:rPr>
            </w:pPr>
            <w:r w:rsidRPr="00726F56">
              <w:rPr>
                <w:b/>
                <w:sz w:val="22"/>
                <w:szCs w:val="22"/>
              </w:rPr>
              <w:t>VPDCEO</w:t>
            </w:r>
          </w:p>
        </w:tc>
      </w:tr>
      <w:tr w:rsidR="00471B5A" w:rsidRPr="00726F56" w:rsidTr="004562FD">
        <w:trPr>
          <w:jc w:val="center"/>
        </w:trPr>
        <w:tc>
          <w:tcPr>
            <w:tcW w:w="767" w:type="dxa"/>
          </w:tcPr>
          <w:p w:rsidR="00471B5A" w:rsidRPr="00726F56" w:rsidRDefault="00471B5A" w:rsidP="00726F56">
            <w:pPr>
              <w:jc w:val="both"/>
              <w:rPr>
                <w:b/>
                <w:sz w:val="22"/>
                <w:szCs w:val="22"/>
              </w:rPr>
            </w:pPr>
          </w:p>
        </w:tc>
        <w:tc>
          <w:tcPr>
            <w:tcW w:w="7027" w:type="dxa"/>
          </w:tcPr>
          <w:p w:rsidR="00471B5A" w:rsidRPr="00726F56" w:rsidRDefault="00471B5A" w:rsidP="00726F56">
            <w:pPr>
              <w:jc w:val="both"/>
              <w:rPr>
                <w:b/>
                <w:sz w:val="22"/>
                <w:szCs w:val="22"/>
              </w:rPr>
            </w:pPr>
          </w:p>
        </w:tc>
        <w:tc>
          <w:tcPr>
            <w:tcW w:w="1244" w:type="dxa"/>
          </w:tcPr>
          <w:p w:rsidR="00471B5A" w:rsidRPr="00726F56" w:rsidRDefault="00471B5A" w:rsidP="00726F56">
            <w:pPr>
              <w:pStyle w:val="NoSpacing"/>
              <w:jc w:val="both"/>
              <w:rPr>
                <w:b/>
                <w:sz w:val="22"/>
                <w:szCs w:val="22"/>
              </w:rPr>
            </w:pPr>
          </w:p>
        </w:tc>
      </w:tr>
      <w:tr w:rsidR="004B0A65" w:rsidRPr="00726F56" w:rsidTr="004562FD">
        <w:trPr>
          <w:jc w:val="center"/>
        </w:trPr>
        <w:tc>
          <w:tcPr>
            <w:tcW w:w="767" w:type="dxa"/>
          </w:tcPr>
          <w:p w:rsidR="004B0A65" w:rsidRPr="00726F56" w:rsidRDefault="004B0A65" w:rsidP="00726F56">
            <w:pPr>
              <w:jc w:val="both"/>
              <w:rPr>
                <w:b/>
                <w:sz w:val="22"/>
                <w:szCs w:val="22"/>
              </w:rPr>
            </w:pPr>
            <w:r w:rsidRPr="00726F56">
              <w:rPr>
                <w:b/>
                <w:sz w:val="22"/>
                <w:szCs w:val="22"/>
              </w:rPr>
              <w:t>17.13</w:t>
            </w:r>
          </w:p>
        </w:tc>
        <w:tc>
          <w:tcPr>
            <w:tcW w:w="7027" w:type="dxa"/>
          </w:tcPr>
          <w:p w:rsidR="004B0A65" w:rsidRPr="00726F56" w:rsidRDefault="004B0A65" w:rsidP="00726F56">
            <w:pPr>
              <w:pStyle w:val="Default"/>
              <w:jc w:val="both"/>
              <w:rPr>
                <w:sz w:val="22"/>
                <w:szCs w:val="22"/>
              </w:rPr>
            </w:pPr>
            <w:r w:rsidRPr="00726F56">
              <w:rPr>
                <w:b/>
                <w:bCs/>
                <w:sz w:val="22"/>
                <w:szCs w:val="22"/>
              </w:rPr>
              <w:t>College accounts direction 2018 to 2019 - Financial reporting requirements for sixth-form and further education colleges</w:t>
            </w:r>
          </w:p>
        </w:tc>
        <w:tc>
          <w:tcPr>
            <w:tcW w:w="1244" w:type="dxa"/>
          </w:tcPr>
          <w:p w:rsidR="004B0A65" w:rsidRPr="00726F56" w:rsidRDefault="004B0A65" w:rsidP="00726F56">
            <w:pPr>
              <w:pStyle w:val="NoSpacing"/>
              <w:jc w:val="both"/>
              <w:rPr>
                <w:b/>
                <w:sz w:val="22"/>
                <w:szCs w:val="22"/>
              </w:rPr>
            </w:pPr>
          </w:p>
        </w:tc>
      </w:tr>
      <w:tr w:rsidR="00C9239D" w:rsidRPr="00726F56" w:rsidTr="004562FD">
        <w:trPr>
          <w:jc w:val="center"/>
        </w:trPr>
        <w:tc>
          <w:tcPr>
            <w:tcW w:w="767" w:type="dxa"/>
          </w:tcPr>
          <w:p w:rsidR="00C9239D" w:rsidRPr="00726F56" w:rsidRDefault="00C9239D" w:rsidP="00726F56">
            <w:pPr>
              <w:jc w:val="both"/>
              <w:rPr>
                <w:b/>
                <w:sz w:val="22"/>
                <w:szCs w:val="22"/>
              </w:rPr>
            </w:pPr>
            <w:proofErr w:type="spellStart"/>
            <w:r w:rsidRPr="00726F56">
              <w:rPr>
                <w:b/>
                <w:sz w:val="22"/>
                <w:szCs w:val="22"/>
              </w:rPr>
              <w:t>i</w:t>
            </w:r>
            <w:proofErr w:type="spellEnd"/>
            <w:r w:rsidRPr="00726F56">
              <w:rPr>
                <w:b/>
                <w:sz w:val="22"/>
                <w:szCs w:val="22"/>
              </w:rPr>
              <w:t>)</w:t>
            </w:r>
          </w:p>
        </w:tc>
        <w:tc>
          <w:tcPr>
            <w:tcW w:w="7027" w:type="dxa"/>
          </w:tcPr>
          <w:p w:rsidR="00C9239D" w:rsidRPr="00726F56" w:rsidRDefault="00C9239D" w:rsidP="009D7B5D">
            <w:pPr>
              <w:jc w:val="both"/>
              <w:rPr>
                <w:sz w:val="22"/>
                <w:szCs w:val="22"/>
              </w:rPr>
            </w:pPr>
            <w:r w:rsidRPr="00726F56">
              <w:rPr>
                <w:sz w:val="22"/>
                <w:szCs w:val="22"/>
              </w:rPr>
              <w:t xml:space="preserve">The </w:t>
            </w:r>
            <w:r w:rsidR="00C44A30" w:rsidRPr="00726F56">
              <w:rPr>
                <w:sz w:val="22"/>
                <w:szCs w:val="22"/>
              </w:rPr>
              <w:t>Clerk to the Corporation explained</w:t>
            </w:r>
            <w:r w:rsidRPr="00726F56">
              <w:rPr>
                <w:sz w:val="22"/>
                <w:szCs w:val="22"/>
              </w:rPr>
              <w:t xml:space="preserve"> that the College accounts direction was issued each year by the funding body and was used by the Finance Director in putting together the Accounts.  It was being shared with the Audit Committee as it stated:</w:t>
            </w:r>
            <w:r w:rsidR="00C44A30" w:rsidRPr="00726F56">
              <w:rPr>
                <w:sz w:val="22"/>
                <w:szCs w:val="22"/>
              </w:rPr>
              <w:t xml:space="preserve"> </w:t>
            </w:r>
            <w:r w:rsidRPr="00726F56">
              <w:rPr>
                <w:sz w:val="22"/>
                <w:szCs w:val="22"/>
              </w:rPr>
              <w:t>“This accounts direction is primarily for use by …governors as charity trustees</w:t>
            </w:r>
            <w:r w:rsidR="009D7B5D" w:rsidRPr="00726F56">
              <w:rPr>
                <w:sz w:val="22"/>
                <w:szCs w:val="22"/>
              </w:rPr>
              <w:t>”</w:t>
            </w:r>
            <w:r w:rsidR="009D7B5D">
              <w:rPr>
                <w:sz w:val="22"/>
                <w:szCs w:val="22"/>
              </w:rPr>
              <w:t>.</w:t>
            </w:r>
            <w:r w:rsidR="009D7B5D" w:rsidRPr="00726F56">
              <w:rPr>
                <w:sz w:val="22"/>
                <w:szCs w:val="22"/>
              </w:rPr>
              <w:t xml:space="preserve"> Information</w:t>
            </w:r>
            <w:r w:rsidRPr="00726F56">
              <w:rPr>
                <w:sz w:val="22"/>
                <w:szCs w:val="22"/>
              </w:rPr>
              <w:t xml:space="preserve"> about the changes in and impact of the new College Accounts direction </w:t>
            </w:r>
            <w:r w:rsidR="0045249A" w:rsidRPr="00726F56">
              <w:rPr>
                <w:sz w:val="22"/>
                <w:szCs w:val="22"/>
              </w:rPr>
              <w:t>had</w:t>
            </w:r>
            <w:r w:rsidRPr="00726F56">
              <w:rPr>
                <w:sz w:val="22"/>
                <w:szCs w:val="22"/>
              </w:rPr>
              <w:t xml:space="preserve"> also </w:t>
            </w:r>
            <w:r w:rsidR="0045249A" w:rsidRPr="00726F56">
              <w:rPr>
                <w:sz w:val="22"/>
                <w:szCs w:val="22"/>
              </w:rPr>
              <w:t xml:space="preserve">been </w:t>
            </w:r>
            <w:r w:rsidRPr="00726F56">
              <w:rPr>
                <w:sz w:val="22"/>
                <w:szCs w:val="22"/>
              </w:rPr>
              <w:t>included in the Financial Statements Audit Plan and in the Internal Audit Progress Report.  Many of the changes affect the disclosure of executive and Senior Post</w:t>
            </w:r>
            <w:r w:rsidR="009D7B5D">
              <w:rPr>
                <w:sz w:val="22"/>
                <w:szCs w:val="22"/>
              </w:rPr>
              <w:t xml:space="preserve"> H</w:t>
            </w:r>
            <w:r w:rsidRPr="00726F56">
              <w:rPr>
                <w:sz w:val="22"/>
                <w:szCs w:val="22"/>
              </w:rPr>
              <w:t>older pay</w:t>
            </w:r>
            <w:r w:rsidR="0045249A" w:rsidRPr="00726F56">
              <w:rPr>
                <w:sz w:val="22"/>
                <w:szCs w:val="22"/>
              </w:rPr>
              <w:t xml:space="preserve"> as already discussed</w:t>
            </w:r>
            <w:r w:rsidRPr="00726F56">
              <w:rPr>
                <w:sz w:val="22"/>
                <w:szCs w:val="22"/>
              </w:rPr>
              <w:t>, the latter linked to the Colleges Senior Post Holder Remuneration Code adopted by the Corporation on 11 June 2019 as recommended by the Remuneration Committee.</w:t>
            </w:r>
          </w:p>
        </w:tc>
        <w:tc>
          <w:tcPr>
            <w:tcW w:w="1244" w:type="dxa"/>
          </w:tcPr>
          <w:p w:rsidR="00C9239D" w:rsidRPr="00726F56" w:rsidRDefault="00C9239D" w:rsidP="00726F56">
            <w:pPr>
              <w:pStyle w:val="NoSpacing"/>
              <w:jc w:val="both"/>
              <w:rPr>
                <w:b/>
                <w:sz w:val="22"/>
                <w:szCs w:val="22"/>
              </w:rPr>
            </w:pPr>
          </w:p>
        </w:tc>
      </w:tr>
      <w:tr w:rsidR="00C9239D" w:rsidRPr="00726F56" w:rsidTr="004562FD">
        <w:trPr>
          <w:jc w:val="center"/>
        </w:trPr>
        <w:tc>
          <w:tcPr>
            <w:tcW w:w="767" w:type="dxa"/>
          </w:tcPr>
          <w:p w:rsidR="00C9239D" w:rsidRPr="00726F56" w:rsidRDefault="00C9239D" w:rsidP="00726F56">
            <w:pPr>
              <w:jc w:val="both"/>
              <w:rPr>
                <w:b/>
                <w:sz w:val="22"/>
                <w:szCs w:val="22"/>
              </w:rPr>
            </w:pPr>
          </w:p>
        </w:tc>
        <w:tc>
          <w:tcPr>
            <w:tcW w:w="7027" w:type="dxa"/>
          </w:tcPr>
          <w:p w:rsidR="00C9239D" w:rsidRPr="00726F56" w:rsidRDefault="00C9239D" w:rsidP="00726F56">
            <w:pPr>
              <w:jc w:val="both"/>
              <w:rPr>
                <w:sz w:val="22"/>
                <w:szCs w:val="22"/>
              </w:rPr>
            </w:pPr>
          </w:p>
        </w:tc>
        <w:tc>
          <w:tcPr>
            <w:tcW w:w="1244" w:type="dxa"/>
          </w:tcPr>
          <w:p w:rsidR="00C9239D" w:rsidRPr="00726F56" w:rsidRDefault="00C9239D" w:rsidP="00726F56">
            <w:pPr>
              <w:pStyle w:val="NoSpacing"/>
              <w:jc w:val="both"/>
              <w:rPr>
                <w:b/>
                <w:sz w:val="22"/>
                <w:szCs w:val="22"/>
              </w:rPr>
            </w:pPr>
          </w:p>
        </w:tc>
      </w:tr>
      <w:tr w:rsidR="00C9239D" w:rsidRPr="00726F56" w:rsidTr="004562FD">
        <w:trPr>
          <w:jc w:val="center"/>
        </w:trPr>
        <w:tc>
          <w:tcPr>
            <w:tcW w:w="767" w:type="dxa"/>
          </w:tcPr>
          <w:p w:rsidR="00C9239D" w:rsidRPr="00726F56" w:rsidRDefault="00AB4330" w:rsidP="00726F56">
            <w:pPr>
              <w:jc w:val="both"/>
              <w:rPr>
                <w:b/>
                <w:sz w:val="22"/>
                <w:szCs w:val="22"/>
              </w:rPr>
            </w:pPr>
            <w:r>
              <w:rPr>
                <w:b/>
                <w:sz w:val="22"/>
                <w:szCs w:val="22"/>
              </w:rPr>
              <w:t>ii)</w:t>
            </w:r>
          </w:p>
        </w:tc>
        <w:tc>
          <w:tcPr>
            <w:tcW w:w="7027" w:type="dxa"/>
          </w:tcPr>
          <w:p w:rsidR="00C9239D" w:rsidRPr="00726F56" w:rsidRDefault="00C9239D" w:rsidP="00726F56">
            <w:pPr>
              <w:jc w:val="both"/>
              <w:rPr>
                <w:color w:val="FF0000"/>
                <w:sz w:val="22"/>
                <w:szCs w:val="22"/>
              </w:rPr>
            </w:pPr>
            <w:r w:rsidRPr="00726F56">
              <w:rPr>
                <w:sz w:val="22"/>
                <w:szCs w:val="22"/>
              </w:rPr>
              <w:t xml:space="preserve">The Audit Committee </w:t>
            </w:r>
            <w:r w:rsidRPr="00726F56">
              <w:rPr>
                <w:b/>
                <w:sz w:val="22"/>
                <w:szCs w:val="22"/>
              </w:rPr>
              <w:t>RECEIVED</w:t>
            </w:r>
            <w:r w:rsidRPr="00726F56">
              <w:rPr>
                <w:sz w:val="22"/>
                <w:szCs w:val="22"/>
              </w:rPr>
              <w:t xml:space="preserve"> the </w:t>
            </w:r>
            <w:r w:rsidRPr="00726F56">
              <w:rPr>
                <w:bCs/>
                <w:sz w:val="22"/>
                <w:szCs w:val="22"/>
              </w:rPr>
              <w:t>College accounts direction 2018 to 2019</w:t>
            </w:r>
            <w:r w:rsidRPr="00726F56">
              <w:rPr>
                <w:sz w:val="22"/>
                <w:szCs w:val="22"/>
              </w:rPr>
              <w:t>, for use by “governors as charity trustees”</w:t>
            </w:r>
            <w:r w:rsidR="0045249A" w:rsidRPr="00726F56">
              <w:rPr>
                <w:sz w:val="22"/>
                <w:szCs w:val="22"/>
              </w:rPr>
              <w:t xml:space="preserve"> and agreed that it should not be included in the papers for the July </w:t>
            </w:r>
            <w:r w:rsidR="009D7B5D" w:rsidRPr="00726F56">
              <w:rPr>
                <w:sz w:val="22"/>
                <w:szCs w:val="22"/>
              </w:rPr>
              <w:t>Corporation</w:t>
            </w:r>
            <w:r w:rsidR="0045249A" w:rsidRPr="00726F56">
              <w:rPr>
                <w:sz w:val="22"/>
                <w:szCs w:val="22"/>
              </w:rPr>
              <w:t xml:space="preserve"> meeting. </w:t>
            </w:r>
          </w:p>
        </w:tc>
        <w:tc>
          <w:tcPr>
            <w:tcW w:w="1244" w:type="dxa"/>
          </w:tcPr>
          <w:p w:rsidR="00C9239D" w:rsidRPr="00726F56" w:rsidRDefault="00C9239D" w:rsidP="00726F56">
            <w:pPr>
              <w:pStyle w:val="NoSpacing"/>
              <w:jc w:val="both"/>
              <w:rPr>
                <w:b/>
                <w:sz w:val="22"/>
                <w:szCs w:val="22"/>
              </w:rPr>
            </w:pPr>
          </w:p>
        </w:tc>
      </w:tr>
      <w:tr w:rsidR="004B0A65" w:rsidRPr="00726F56" w:rsidTr="004562FD">
        <w:trPr>
          <w:jc w:val="center"/>
        </w:trPr>
        <w:tc>
          <w:tcPr>
            <w:tcW w:w="767" w:type="dxa"/>
          </w:tcPr>
          <w:p w:rsidR="004B0A65" w:rsidRPr="00726F56" w:rsidRDefault="004B0A65" w:rsidP="00726F56">
            <w:pPr>
              <w:jc w:val="both"/>
              <w:rPr>
                <w:b/>
                <w:sz w:val="22"/>
                <w:szCs w:val="22"/>
              </w:rPr>
            </w:pPr>
          </w:p>
        </w:tc>
        <w:tc>
          <w:tcPr>
            <w:tcW w:w="7027" w:type="dxa"/>
          </w:tcPr>
          <w:p w:rsidR="004B0A65" w:rsidRPr="00726F56" w:rsidRDefault="004B0A65" w:rsidP="00726F56">
            <w:pPr>
              <w:jc w:val="both"/>
              <w:rPr>
                <w:color w:val="FF0000"/>
                <w:sz w:val="22"/>
                <w:szCs w:val="22"/>
              </w:rPr>
            </w:pPr>
          </w:p>
        </w:tc>
        <w:tc>
          <w:tcPr>
            <w:tcW w:w="1244" w:type="dxa"/>
          </w:tcPr>
          <w:p w:rsidR="004B0A65" w:rsidRPr="00726F56" w:rsidRDefault="004B0A65" w:rsidP="00726F56">
            <w:pPr>
              <w:pStyle w:val="NoSpacing"/>
              <w:jc w:val="both"/>
              <w:rPr>
                <w:b/>
                <w:sz w:val="22"/>
                <w:szCs w:val="22"/>
              </w:rPr>
            </w:pPr>
          </w:p>
        </w:tc>
      </w:tr>
      <w:tr w:rsidR="004B0A65" w:rsidRPr="00726F56" w:rsidTr="004562FD">
        <w:trPr>
          <w:jc w:val="center"/>
        </w:trPr>
        <w:tc>
          <w:tcPr>
            <w:tcW w:w="767" w:type="dxa"/>
          </w:tcPr>
          <w:p w:rsidR="004B0A65" w:rsidRPr="00726F56" w:rsidRDefault="004B0A65" w:rsidP="00726F56">
            <w:pPr>
              <w:jc w:val="both"/>
              <w:rPr>
                <w:b/>
                <w:sz w:val="22"/>
                <w:szCs w:val="22"/>
              </w:rPr>
            </w:pPr>
            <w:r w:rsidRPr="00726F56">
              <w:rPr>
                <w:b/>
                <w:sz w:val="22"/>
                <w:szCs w:val="22"/>
              </w:rPr>
              <w:t>17.14</w:t>
            </w:r>
          </w:p>
        </w:tc>
        <w:tc>
          <w:tcPr>
            <w:tcW w:w="7027" w:type="dxa"/>
          </w:tcPr>
          <w:p w:rsidR="004B0A65" w:rsidRPr="00726F56" w:rsidRDefault="004B0A65" w:rsidP="00726F56">
            <w:pPr>
              <w:jc w:val="both"/>
              <w:rPr>
                <w:b/>
                <w:sz w:val="22"/>
                <w:szCs w:val="22"/>
              </w:rPr>
            </w:pPr>
            <w:r w:rsidRPr="00726F56">
              <w:rPr>
                <w:b/>
                <w:sz w:val="22"/>
                <w:szCs w:val="22"/>
              </w:rPr>
              <w:t>Department for Education (DfE) Governance Guide - Follow Up</w:t>
            </w:r>
          </w:p>
        </w:tc>
        <w:tc>
          <w:tcPr>
            <w:tcW w:w="1244" w:type="dxa"/>
          </w:tcPr>
          <w:p w:rsidR="004B0A65" w:rsidRPr="00726F56" w:rsidRDefault="004B0A65" w:rsidP="00726F56">
            <w:pPr>
              <w:pStyle w:val="NoSpacing"/>
              <w:jc w:val="both"/>
              <w:rPr>
                <w:b/>
                <w:sz w:val="22"/>
                <w:szCs w:val="22"/>
              </w:rPr>
            </w:pPr>
          </w:p>
        </w:tc>
      </w:tr>
      <w:tr w:rsidR="004B0A65" w:rsidRPr="00726F56" w:rsidTr="004562FD">
        <w:trPr>
          <w:jc w:val="center"/>
        </w:trPr>
        <w:tc>
          <w:tcPr>
            <w:tcW w:w="767" w:type="dxa"/>
          </w:tcPr>
          <w:p w:rsidR="004B0A65" w:rsidRPr="00726F56" w:rsidRDefault="004B0A65" w:rsidP="00726F56">
            <w:pPr>
              <w:jc w:val="both"/>
              <w:rPr>
                <w:b/>
                <w:sz w:val="22"/>
                <w:szCs w:val="22"/>
              </w:rPr>
            </w:pPr>
            <w:proofErr w:type="spellStart"/>
            <w:r w:rsidRPr="00726F56">
              <w:rPr>
                <w:b/>
                <w:sz w:val="22"/>
                <w:szCs w:val="22"/>
              </w:rPr>
              <w:t>i</w:t>
            </w:r>
            <w:proofErr w:type="spellEnd"/>
            <w:r w:rsidRPr="00726F56">
              <w:rPr>
                <w:b/>
                <w:sz w:val="22"/>
                <w:szCs w:val="22"/>
              </w:rPr>
              <w:t>)</w:t>
            </w:r>
          </w:p>
        </w:tc>
        <w:tc>
          <w:tcPr>
            <w:tcW w:w="7027" w:type="dxa"/>
          </w:tcPr>
          <w:p w:rsidR="004B0A65" w:rsidRPr="00726F56" w:rsidRDefault="004B0A65" w:rsidP="00726F56">
            <w:pPr>
              <w:jc w:val="both"/>
              <w:rPr>
                <w:b/>
                <w:sz w:val="22"/>
                <w:szCs w:val="22"/>
              </w:rPr>
            </w:pPr>
            <w:r w:rsidRPr="00726F56">
              <w:rPr>
                <w:b/>
                <w:sz w:val="22"/>
                <w:szCs w:val="22"/>
              </w:rPr>
              <w:t>UK Corporate Governance Code</w:t>
            </w:r>
          </w:p>
        </w:tc>
        <w:tc>
          <w:tcPr>
            <w:tcW w:w="1244" w:type="dxa"/>
          </w:tcPr>
          <w:p w:rsidR="004B0A65" w:rsidRPr="00726F56" w:rsidRDefault="004B0A65" w:rsidP="00726F56">
            <w:pPr>
              <w:pStyle w:val="NoSpacing"/>
              <w:jc w:val="both"/>
              <w:rPr>
                <w:b/>
                <w:sz w:val="22"/>
                <w:szCs w:val="22"/>
              </w:rPr>
            </w:pPr>
          </w:p>
        </w:tc>
      </w:tr>
      <w:tr w:rsidR="0045249A" w:rsidRPr="00726F56" w:rsidTr="004562FD">
        <w:trPr>
          <w:jc w:val="center"/>
        </w:trPr>
        <w:tc>
          <w:tcPr>
            <w:tcW w:w="767" w:type="dxa"/>
          </w:tcPr>
          <w:p w:rsidR="0045249A" w:rsidRPr="00726F56" w:rsidRDefault="0045249A" w:rsidP="00726F56">
            <w:pPr>
              <w:jc w:val="both"/>
              <w:rPr>
                <w:b/>
                <w:sz w:val="22"/>
                <w:szCs w:val="22"/>
              </w:rPr>
            </w:pPr>
          </w:p>
        </w:tc>
        <w:tc>
          <w:tcPr>
            <w:tcW w:w="7027" w:type="dxa"/>
          </w:tcPr>
          <w:p w:rsidR="0045249A" w:rsidRPr="00726F56" w:rsidRDefault="0045249A" w:rsidP="00726F56">
            <w:pPr>
              <w:jc w:val="both"/>
              <w:rPr>
                <w:sz w:val="22"/>
                <w:szCs w:val="22"/>
              </w:rPr>
            </w:pPr>
            <w:r w:rsidRPr="00726F56">
              <w:rPr>
                <w:sz w:val="22"/>
                <w:szCs w:val="22"/>
              </w:rPr>
              <w:t>The Clerk to the Corporation explained that as the College had</w:t>
            </w:r>
            <w:r w:rsidRPr="00726F56">
              <w:rPr>
                <w:color w:val="333333"/>
                <w:sz w:val="22"/>
                <w:szCs w:val="22"/>
              </w:rPr>
              <w:t xml:space="preserve"> not adopted one of the three possible codes</w:t>
            </w:r>
            <w:r w:rsidR="009D7B5D" w:rsidRPr="00726F56">
              <w:rPr>
                <w:color w:val="333333"/>
                <w:sz w:val="22"/>
                <w:szCs w:val="22"/>
              </w:rPr>
              <w:t>, the</w:t>
            </w:r>
            <w:r w:rsidRPr="00726F56">
              <w:rPr>
                <w:color w:val="333333"/>
                <w:sz w:val="22"/>
                <w:szCs w:val="22"/>
              </w:rPr>
              <w:t xml:space="preserve"> relevant statement in the Annual Report was </w:t>
            </w:r>
            <w:r w:rsidRPr="00726F56">
              <w:rPr>
                <w:sz w:val="22"/>
                <w:szCs w:val="22"/>
              </w:rPr>
              <w:t xml:space="preserve">“We have not adopted and therefore do not apply the UK Corporate Governance Code. However, we have reported on our Corporate Governance arrangements by drawing upon best practice available, including those aspects of the UK Corporate Governance Code we consider to be relevant to the further education sector and best practice.”  </w:t>
            </w:r>
            <w:r w:rsidRPr="00726F56">
              <w:rPr>
                <w:bCs/>
                <w:sz w:val="22"/>
                <w:szCs w:val="22"/>
              </w:rPr>
              <w:t xml:space="preserve">The Governance and Search Committee had </w:t>
            </w:r>
            <w:r w:rsidRPr="00726F56">
              <w:rPr>
                <w:sz w:val="22"/>
                <w:szCs w:val="22"/>
              </w:rPr>
              <w:t>agreed that the Clerk to the Corporation should map compliance against the UK Corporate Governance Code and on 22 May 2019 had considered the extent of College compliance with the UK Corporate Governance Code, recommended some changes to current practice and to some explanations, noting that the revised schedule would also be considered by the Audit Committee.</w:t>
            </w:r>
          </w:p>
        </w:tc>
        <w:tc>
          <w:tcPr>
            <w:tcW w:w="1244" w:type="dxa"/>
          </w:tcPr>
          <w:p w:rsidR="0045249A" w:rsidRPr="00726F56" w:rsidRDefault="0045249A" w:rsidP="00726F56">
            <w:pPr>
              <w:pStyle w:val="NoSpacing"/>
              <w:jc w:val="both"/>
              <w:rPr>
                <w:b/>
                <w:sz w:val="22"/>
                <w:szCs w:val="22"/>
              </w:rPr>
            </w:pPr>
          </w:p>
        </w:tc>
      </w:tr>
      <w:tr w:rsidR="0045249A" w:rsidRPr="00726F56" w:rsidTr="004562FD">
        <w:trPr>
          <w:jc w:val="center"/>
        </w:trPr>
        <w:tc>
          <w:tcPr>
            <w:tcW w:w="767" w:type="dxa"/>
          </w:tcPr>
          <w:p w:rsidR="0045249A" w:rsidRPr="00726F56" w:rsidRDefault="0045249A" w:rsidP="00726F56">
            <w:pPr>
              <w:jc w:val="both"/>
              <w:rPr>
                <w:b/>
                <w:sz w:val="22"/>
                <w:szCs w:val="22"/>
              </w:rPr>
            </w:pPr>
          </w:p>
        </w:tc>
        <w:tc>
          <w:tcPr>
            <w:tcW w:w="7027" w:type="dxa"/>
          </w:tcPr>
          <w:p w:rsidR="0045249A" w:rsidRPr="00726F56" w:rsidRDefault="0045249A" w:rsidP="00726F56">
            <w:pPr>
              <w:jc w:val="both"/>
              <w:rPr>
                <w:sz w:val="22"/>
                <w:szCs w:val="22"/>
              </w:rPr>
            </w:pPr>
          </w:p>
        </w:tc>
        <w:tc>
          <w:tcPr>
            <w:tcW w:w="1244" w:type="dxa"/>
          </w:tcPr>
          <w:p w:rsidR="0045249A" w:rsidRPr="00726F56" w:rsidRDefault="0045249A" w:rsidP="00726F56">
            <w:pPr>
              <w:pStyle w:val="NoSpacing"/>
              <w:jc w:val="both"/>
              <w:rPr>
                <w:b/>
                <w:sz w:val="22"/>
                <w:szCs w:val="22"/>
              </w:rPr>
            </w:pPr>
          </w:p>
        </w:tc>
      </w:tr>
      <w:tr w:rsidR="00C9239D" w:rsidRPr="00726F56" w:rsidTr="004562FD">
        <w:trPr>
          <w:jc w:val="center"/>
        </w:trPr>
        <w:tc>
          <w:tcPr>
            <w:tcW w:w="767" w:type="dxa"/>
          </w:tcPr>
          <w:p w:rsidR="00C9239D" w:rsidRPr="00726F56" w:rsidRDefault="00AB4330" w:rsidP="00726F56">
            <w:pPr>
              <w:jc w:val="both"/>
              <w:rPr>
                <w:b/>
                <w:sz w:val="22"/>
                <w:szCs w:val="22"/>
              </w:rPr>
            </w:pPr>
            <w:r>
              <w:rPr>
                <w:b/>
                <w:sz w:val="22"/>
                <w:szCs w:val="22"/>
              </w:rPr>
              <w:lastRenderedPageBreak/>
              <w:t>ii)</w:t>
            </w:r>
          </w:p>
        </w:tc>
        <w:tc>
          <w:tcPr>
            <w:tcW w:w="7027" w:type="dxa"/>
          </w:tcPr>
          <w:p w:rsidR="00C9239D" w:rsidRPr="00726F56" w:rsidRDefault="00BB0DE1" w:rsidP="00726F56">
            <w:pPr>
              <w:jc w:val="both"/>
              <w:rPr>
                <w:sz w:val="22"/>
                <w:szCs w:val="22"/>
              </w:rPr>
            </w:pPr>
            <w:r w:rsidRPr="00726F56">
              <w:rPr>
                <w:sz w:val="22"/>
                <w:szCs w:val="22"/>
              </w:rPr>
              <w:t xml:space="preserve">The papers included </w:t>
            </w:r>
            <w:r w:rsidR="00C9239D" w:rsidRPr="00726F56">
              <w:rPr>
                <w:sz w:val="22"/>
                <w:szCs w:val="22"/>
              </w:rPr>
              <w:t>the Clerk to the Corporation’s draft assessment of Compliance with the UKCGC provisions, as amended to reflect Governance and Search Committee comments</w:t>
            </w:r>
            <w:r w:rsidRPr="00726F56">
              <w:rPr>
                <w:sz w:val="22"/>
                <w:szCs w:val="22"/>
              </w:rPr>
              <w:t xml:space="preserve"> and </w:t>
            </w:r>
            <w:r w:rsidR="00357338" w:rsidRPr="00726F56">
              <w:rPr>
                <w:sz w:val="22"/>
                <w:szCs w:val="22"/>
              </w:rPr>
              <w:t xml:space="preserve">colour coded for ease of review with the full code being available in the supporting papers.  There was much compliance and several areas </w:t>
            </w:r>
            <w:r w:rsidR="00C9239D" w:rsidRPr="00726F56">
              <w:rPr>
                <w:sz w:val="22"/>
                <w:szCs w:val="22"/>
              </w:rPr>
              <w:t>assessed as not relevant to the College, as it is not a company</w:t>
            </w:r>
            <w:r w:rsidR="00357338" w:rsidRPr="00726F56">
              <w:rPr>
                <w:sz w:val="22"/>
                <w:szCs w:val="22"/>
              </w:rPr>
              <w:t xml:space="preserve"> and some remaining areas of </w:t>
            </w:r>
            <w:proofErr w:type="gramStart"/>
            <w:r w:rsidR="00C9239D" w:rsidRPr="00726F56">
              <w:rPr>
                <w:sz w:val="22"/>
                <w:szCs w:val="22"/>
              </w:rPr>
              <w:t>non</w:t>
            </w:r>
            <w:proofErr w:type="gramEnd"/>
            <w:r w:rsidR="00C9239D" w:rsidRPr="00726F56">
              <w:rPr>
                <w:sz w:val="22"/>
                <w:szCs w:val="22"/>
              </w:rPr>
              <w:t xml:space="preserve"> or partial compliance</w:t>
            </w:r>
            <w:r w:rsidR="00357338" w:rsidRPr="00726F56">
              <w:rPr>
                <w:sz w:val="22"/>
                <w:szCs w:val="22"/>
              </w:rPr>
              <w:t xml:space="preserve"> where this was justified or action was agreed.  There were some sections of the compliance assessment that remained to be judged</w:t>
            </w:r>
            <w:r w:rsidR="00C9239D" w:rsidRPr="00726F56">
              <w:rPr>
                <w:sz w:val="22"/>
                <w:szCs w:val="22"/>
              </w:rPr>
              <w:t xml:space="preserve"> against the </w:t>
            </w:r>
            <w:r w:rsidR="00357338" w:rsidRPr="00726F56">
              <w:rPr>
                <w:sz w:val="22"/>
                <w:szCs w:val="22"/>
              </w:rPr>
              <w:t>Annual Report and Financial Statements w</w:t>
            </w:r>
            <w:r w:rsidR="00C9239D" w:rsidRPr="00726F56">
              <w:rPr>
                <w:sz w:val="22"/>
                <w:szCs w:val="22"/>
              </w:rPr>
              <w:t xml:space="preserve">hich </w:t>
            </w:r>
            <w:r w:rsidR="00357338" w:rsidRPr="00726F56">
              <w:rPr>
                <w:sz w:val="22"/>
                <w:szCs w:val="22"/>
              </w:rPr>
              <w:t>would</w:t>
            </w:r>
            <w:r w:rsidR="00C9239D" w:rsidRPr="00726F56">
              <w:rPr>
                <w:sz w:val="22"/>
                <w:szCs w:val="22"/>
              </w:rPr>
              <w:t xml:space="preserve"> be </w:t>
            </w:r>
            <w:r w:rsidR="00357338" w:rsidRPr="00726F56">
              <w:rPr>
                <w:sz w:val="22"/>
                <w:szCs w:val="22"/>
              </w:rPr>
              <w:t>considered</w:t>
            </w:r>
            <w:r w:rsidR="00C9239D" w:rsidRPr="00726F56">
              <w:rPr>
                <w:sz w:val="22"/>
                <w:szCs w:val="22"/>
              </w:rPr>
              <w:t xml:space="preserve"> </w:t>
            </w:r>
            <w:r w:rsidR="00357338" w:rsidRPr="00726F56">
              <w:rPr>
                <w:sz w:val="22"/>
                <w:szCs w:val="22"/>
              </w:rPr>
              <w:t xml:space="preserve">with the draft </w:t>
            </w:r>
            <w:r w:rsidR="009D7B5D" w:rsidRPr="00726F56">
              <w:rPr>
                <w:sz w:val="22"/>
                <w:szCs w:val="22"/>
              </w:rPr>
              <w:t>documents</w:t>
            </w:r>
            <w:r w:rsidR="00357338" w:rsidRPr="00726F56">
              <w:rPr>
                <w:sz w:val="22"/>
                <w:szCs w:val="22"/>
              </w:rPr>
              <w:t xml:space="preserve">.  </w:t>
            </w:r>
            <w:r w:rsidR="00C9239D" w:rsidRPr="00726F56">
              <w:rPr>
                <w:sz w:val="22"/>
                <w:szCs w:val="22"/>
              </w:rPr>
              <w:t xml:space="preserve"> </w:t>
            </w:r>
          </w:p>
        </w:tc>
        <w:tc>
          <w:tcPr>
            <w:tcW w:w="1244" w:type="dxa"/>
          </w:tcPr>
          <w:p w:rsidR="00C9239D" w:rsidRPr="00726F56" w:rsidRDefault="00C9239D" w:rsidP="00726F56">
            <w:pPr>
              <w:pStyle w:val="NoSpacing"/>
              <w:jc w:val="both"/>
              <w:rPr>
                <w:b/>
                <w:sz w:val="22"/>
                <w:szCs w:val="22"/>
              </w:rPr>
            </w:pPr>
          </w:p>
          <w:p w:rsidR="00357338" w:rsidRPr="00726F56" w:rsidRDefault="00357338" w:rsidP="00726F56">
            <w:pPr>
              <w:pStyle w:val="NoSpacing"/>
              <w:jc w:val="both"/>
              <w:rPr>
                <w:b/>
                <w:sz w:val="22"/>
                <w:szCs w:val="22"/>
              </w:rPr>
            </w:pPr>
          </w:p>
          <w:p w:rsidR="00357338" w:rsidRPr="00726F56" w:rsidRDefault="00357338" w:rsidP="00726F56">
            <w:pPr>
              <w:pStyle w:val="NoSpacing"/>
              <w:jc w:val="both"/>
              <w:rPr>
                <w:b/>
                <w:sz w:val="22"/>
                <w:szCs w:val="22"/>
              </w:rPr>
            </w:pPr>
          </w:p>
          <w:p w:rsidR="00357338" w:rsidRPr="00726F56" w:rsidRDefault="00357338" w:rsidP="00726F56">
            <w:pPr>
              <w:pStyle w:val="NoSpacing"/>
              <w:jc w:val="both"/>
              <w:rPr>
                <w:b/>
                <w:sz w:val="22"/>
                <w:szCs w:val="22"/>
              </w:rPr>
            </w:pPr>
          </w:p>
        </w:tc>
      </w:tr>
      <w:tr w:rsidR="00C9239D" w:rsidRPr="00726F56" w:rsidTr="004562FD">
        <w:trPr>
          <w:jc w:val="center"/>
        </w:trPr>
        <w:tc>
          <w:tcPr>
            <w:tcW w:w="767" w:type="dxa"/>
          </w:tcPr>
          <w:p w:rsidR="00C9239D" w:rsidRPr="00AB4330" w:rsidRDefault="00C9239D" w:rsidP="00726F56">
            <w:pPr>
              <w:jc w:val="both"/>
              <w:rPr>
                <w:b/>
                <w:sz w:val="22"/>
                <w:szCs w:val="22"/>
              </w:rPr>
            </w:pPr>
          </w:p>
        </w:tc>
        <w:tc>
          <w:tcPr>
            <w:tcW w:w="7027" w:type="dxa"/>
          </w:tcPr>
          <w:p w:rsidR="00C9239D" w:rsidRPr="00726F56" w:rsidRDefault="00C9239D" w:rsidP="00726F56">
            <w:pPr>
              <w:pStyle w:val="ListParagraph"/>
              <w:ind w:left="0"/>
              <w:jc w:val="both"/>
              <w:rPr>
                <w:b/>
                <w:color w:val="333333"/>
                <w:sz w:val="22"/>
                <w:szCs w:val="22"/>
              </w:rPr>
            </w:pPr>
          </w:p>
        </w:tc>
        <w:tc>
          <w:tcPr>
            <w:tcW w:w="1244" w:type="dxa"/>
          </w:tcPr>
          <w:p w:rsidR="00C9239D" w:rsidRPr="00726F56" w:rsidRDefault="00C9239D" w:rsidP="00726F56">
            <w:pPr>
              <w:pStyle w:val="NoSpacing"/>
              <w:jc w:val="both"/>
              <w:rPr>
                <w:b/>
                <w:sz w:val="22"/>
                <w:szCs w:val="22"/>
              </w:rPr>
            </w:pPr>
          </w:p>
        </w:tc>
      </w:tr>
      <w:tr w:rsidR="00357338" w:rsidRPr="00726F56" w:rsidTr="004562FD">
        <w:trPr>
          <w:jc w:val="center"/>
        </w:trPr>
        <w:tc>
          <w:tcPr>
            <w:tcW w:w="767" w:type="dxa"/>
          </w:tcPr>
          <w:p w:rsidR="00357338" w:rsidRPr="00AB4330" w:rsidRDefault="00357338" w:rsidP="00726F56">
            <w:pPr>
              <w:jc w:val="both"/>
              <w:rPr>
                <w:b/>
                <w:sz w:val="22"/>
                <w:szCs w:val="22"/>
              </w:rPr>
            </w:pPr>
            <w:r w:rsidRPr="00AB4330">
              <w:rPr>
                <w:b/>
                <w:sz w:val="22"/>
                <w:szCs w:val="22"/>
                <w:lang w:eastAsia="en-US"/>
              </w:rPr>
              <w:br w:type="page"/>
            </w:r>
            <w:r w:rsidR="00AB4330" w:rsidRPr="00AB4330">
              <w:rPr>
                <w:b/>
                <w:sz w:val="22"/>
                <w:szCs w:val="22"/>
                <w:lang w:eastAsia="en-US"/>
              </w:rPr>
              <w:t>iii)</w:t>
            </w:r>
          </w:p>
        </w:tc>
        <w:tc>
          <w:tcPr>
            <w:tcW w:w="7027" w:type="dxa"/>
          </w:tcPr>
          <w:p w:rsidR="00357338" w:rsidRPr="00726F56" w:rsidRDefault="00357338" w:rsidP="00726F56">
            <w:pPr>
              <w:jc w:val="both"/>
              <w:rPr>
                <w:sz w:val="22"/>
                <w:szCs w:val="22"/>
              </w:rPr>
            </w:pPr>
            <w:r w:rsidRPr="00726F56">
              <w:rPr>
                <w:sz w:val="22"/>
                <w:szCs w:val="22"/>
              </w:rPr>
              <w:t>The Audit Committee:</w:t>
            </w:r>
          </w:p>
          <w:p w:rsidR="00357338" w:rsidRPr="00726F56" w:rsidRDefault="00357338" w:rsidP="00726F56">
            <w:pPr>
              <w:pStyle w:val="ListParagraph"/>
              <w:numPr>
                <w:ilvl w:val="0"/>
                <w:numId w:val="39"/>
              </w:numPr>
              <w:jc w:val="both"/>
              <w:rPr>
                <w:sz w:val="22"/>
                <w:szCs w:val="22"/>
              </w:rPr>
            </w:pPr>
            <w:r w:rsidRPr="00726F56">
              <w:rPr>
                <w:b/>
                <w:sz w:val="22"/>
                <w:szCs w:val="22"/>
              </w:rPr>
              <w:t xml:space="preserve">CONSIDERED </w:t>
            </w:r>
            <w:r w:rsidRPr="00726F56">
              <w:rPr>
                <w:sz w:val="22"/>
                <w:szCs w:val="22"/>
              </w:rPr>
              <w:t>the extent of College compliance with the UK Corporate Governance Code</w:t>
            </w:r>
          </w:p>
          <w:p w:rsidR="00357338" w:rsidRPr="00726F56" w:rsidRDefault="00357338" w:rsidP="00726F56">
            <w:pPr>
              <w:pStyle w:val="ListParagraph"/>
              <w:numPr>
                <w:ilvl w:val="0"/>
                <w:numId w:val="39"/>
              </w:numPr>
              <w:jc w:val="both"/>
              <w:rPr>
                <w:sz w:val="22"/>
                <w:szCs w:val="22"/>
              </w:rPr>
            </w:pPr>
            <w:r w:rsidRPr="00726F56">
              <w:rPr>
                <w:b/>
                <w:sz w:val="22"/>
                <w:szCs w:val="22"/>
              </w:rPr>
              <w:t>WERE SATISFIED</w:t>
            </w:r>
            <w:r w:rsidRPr="00726F56">
              <w:rPr>
                <w:sz w:val="22"/>
                <w:szCs w:val="22"/>
              </w:rPr>
              <w:t xml:space="preserve"> with the judgements made </w:t>
            </w:r>
          </w:p>
        </w:tc>
        <w:tc>
          <w:tcPr>
            <w:tcW w:w="1244" w:type="dxa"/>
          </w:tcPr>
          <w:p w:rsidR="00357338" w:rsidRPr="00726F56" w:rsidRDefault="00357338" w:rsidP="00726F56">
            <w:pPr>
              <w:pStyle w:val="NoSpacing"/>
              <w:jc w:val="both"/>
              <w:rPr>
                <w:b/>
                <w:sz w:val="22"/>
                <w:szCs w:val="22"/>
              </w:rPr>
            </w:pPr>
          </w:p>
        </w:tc>
      </w:tr>
      <w:tr w:rsidR="00357338" w:rsidRPr="00726F56" w:rsidTr="004562FD">
        <w:trPr>
          <w:jc w:val="center"/>
        </w:trPr>
        <w:tc>
          <w:tcPr>
            <w:tcW w:w="767" w:type="dxa"/>
          </w:tcPr>
          <w:p w:rsidR="00357338" w:rsidRPr="00AB4330" w:rsidRDefault="00357338" w:rsidP="00726F56">
            <w:pPr>
              <w:jc w:val="both"/>
              <w:rPr>
                <w:b/>
                <w:sz w:val="22"/>
                <w:szCs w:val="22"/>
              </w:rPr>
            </w:pPr>
          </w:p>
        </w:tc>
        <w:tc>
          <w:tcPr>
            <w:tcW w:w="7027" w:type="dxa"/>
          </w:tcPr>
          <w:p w:rsidR="00357338" w:rsidRPr="00726F56" w:rsidRDefault="00357338" w:rsidP="00726F56">
            <w:pPr>
              <w:pStyle w:val="ListParagraph"/>
              <w:numPr>
                <w:ilvl w:val="0"/>
                <w:numId w:val="40"/>
              </w:numPr>
              <w:jc w:val="both"/>
              <w:rPr>
                <w:sz w:val="22"/>
                <w:szCs w:val="22"/>
              </w:rPr>
            </w:pPr>
            <w:r w:rsidRPr="00726F56">
              <w:rPr>
                <w:b/>
                <w:sz w:val="22"/>
                <w:szCs w:val="22"/>
              </w:rPr>
              <w:t>NOTED</w:t>
            </w:r>
            <w:r w:rsidRPr="00726F56">
              <w:rPr>
                <w:sz w:val="22"/>
                <w:szCs w:val="22"/>
              </w:rPr>
              <w:t xml:space="preserve"> that compliance with the Annual Report and Financial Statements </w:t>
            </w:r>
            <w:r w:rsidR="00EA4685">
              <w:rPr>
                <w:sz w:val="22"/>
                <w:szCs w:val="22"/>
              </w:rPr>
              <w:t xml:space="preserve">reporting elements </w:t>
            </w:r>
            <w:r w:rsidRPr="00726F56">
              <w:rPr>
                <w:sz w:val="22"/>
                <w:szCs w:val="22"/>
              </w:rPr>
              <w:t>would be reported to the Audit Committee on 19 November 2019</w:t>
            </w:r>
          </w:p>
        </w:tc>
        <w:tc>
          <w:tcPr>
            <w:tcW w:w="1244" w:type="dxa"/>
          </w:tcPr>
          <w:p w:rsidR="00357338" w:rsidRPr="00726F56" w:rsidRDefault="00357338" w:rsidP="00726F56">
            <w:pPr>
              <w:pStyle w:val="NoSpacing"/>
              <w:jc w:val="both"/>
              <w:rPr>
                <w:b/>
                <w:sz w:val="22"/>
                <w:szCs w:val="22"/>
              </w:rPr>
            </w:pPr>
            <w:r w:rsidRPr="00726F56">
              <w:rPr>
                <w:b/>
                <w:sz w:val="22"/>
                <w:szCs w:val="22"/>
              </w:rPr>
              <w:t>CC</w:t>
            </w:r>
          </w:p>
        </w:tc>
      </w:tr>
      <w:tr w:rsidR="00357338" w:rsidRPr="00726F56" w:rsidTr="004562FD">
        <w:trPr>
          <w:jc w:val="center"/>
        </w:trPr>
        <w:tc>
          <w:tcPr>
            <w:tcW w:w="767" w:type="dxa"/>
          </w:tcPr>
          <w:p w:rsidR="00357338" w:rsidRPr="00726F56" w:rsidRDefault="00357338" w:rsidP="00726F56">
            <w:pPr>
              <w:jc w:val="both"/>
              <w:rPr>
                <w:sz w:val="22"/>
                <w:szCs w:val="22"/>
              </w:rPr>
            </w:pPr>
          </w:p>
        </w:tc>
        <w:tc>
          <w:tcPr>
            <w:tcW w:w="7027" w:type="dxa"/>
          </w:tcPr>
          <w:p w:rsidR="00357338" w:rsidRPr="00726F56" w:rsidRDefault="00357338" w:rsidP="00726F56">
            <w:pPr>
              <w:jc w:val="both"/>
              <w:rPr>
                <w:sz w:val="22"/>
                <w:szCs w:val="22"/>
              </w:rPr>
            </w:pPr>
          </w:p>
        </w:tc>
        <w:tc>
          <w:tcPr>
            <w:tcW w:w="1244" w:type="dxa"/>
          </w:tcPr>
          <w:p w:rsidR="00357338" w:rsidRPr="00726F56" w:rsidRDefault="00357338" w:rsidP="00726F56">
            <w:pPr>
              <w:pStyle w:val="NoSpacing"/>
              <w:jc w:val="both"/>
              <w:rPr>
                <w:b/>
                <w:sz w:val="22"/>
                <w:szCs w:val="22"/>
              </w:rPr>
            </w:pPr>
          </w:p>
        </w:tc>
      </w:tr>
      <w:tr w:rsidR="00357338" w:rsidRPr="00726F56" w:rsidTr="004562FD">
        <w:trPr>
          <w:jc w:val="center"/>
        </w:trPr>
        <w:tc>
          <w:tcPr>
            <w:tcW w:w="767" w:type="dxa"/>
          </w:tcPr>
          <w:p w:rsidR="00357338" w:rsidRPr="00726F56" w:rsidRDefault="00357338" w:rsidP="00726F56">
            <w:pPr>
              <w:jc w:val="both"/>
              <w:rPr>
                <w:b/>
                <w:sz w:val="22"/>
                <w:szCs w:val="22"/>
              </w:rPr>
            </w:pPr>
            <w:r w:rsidRPr="00726F56">
              <w:rPr>
                <w:sz w:val="22"/>
                <w:szCs w:val="22"/>
              </w:rPr>
              <w:br w:type="page"/>
            </w:r>
            <w:r w:rsidRPr="00726F56">
              <w:rPr>
                <w:b/>
                <w:sz w:val="22"/>
                <w:szCs w:val="22"/>
              </w:rPr>
              <w:t>17.15</w:t>
            </w:r>
          </w:p>
        </w:tc>
        <w:tc>
          <w:tcPr>
            <w:tcW w:w="7027" w:type="dxa"/>
          </w:tcPr>
          <w:p w:rsidR="00357338" w:rsidRPr="00726F56" w:rsidRDefault="00357338" w:rsidP="00726F56">
            <w:pPr>
              <w:pStyle w:val="Heading1"/>
              <w:jc w:val="both"/>
              <w:outlineLvl w:val="0"/>
              <w:rPr>
                <w:rFonts w:ascii="Arial" w:hAnsi="Arial" w:cs="Arial"/>
                <w:sz w:val="22"/>
                <w:szCs w:val="22"/>
              </w:rPr>
            </w:pPr>
            <w:r w:rsidRPr="00726F56">
              <w:rPr>
                <w:rFonts w:ascii="Arial" w:hAnsi="Arial" w:cs="Arial"/>
                <w:sz w:val="22"/>
                <w:szCs w:val="22"/>
              </w:rPr>
              <w:t xml:space="preserve"> </w:t>
            </w:r>
            <w:r w:rsidRPr="00726F56">
              <w:rPr>
                <w:rFonts w:ascii="Arial" w:hAnsi="Arial" w:cs="Arial"/>
                <w:bCs/>
                <w:sz w:val="22"/>
                <w:szCs w:val="22"/>
              </w:rPr>
              <w:t>Post-16 Audit Code of Practice (PACOP) 2018 to 2019</w:t>
            </w:r>
          </w:p>
        </w:tc>
        <w:tc>
          <w:tcPr>
            <w:tcW w:w="1244" w:type="dxa"/>
          </w:tcPr>
          <w:p w:rsidR="00357338" w:rsidRPr="00726F56" w:rsidRDefault="00357338" w:rsidP="00726F56">
            <w:pPr>
              <w:pStyle w:val="NoSpacing"/>
              <w:jc w:val="both"/>
              <w:rPr>
                <w:b/>
                <w:sz w:val="22"/>
                <w:szCs w:val="22"/>
              </w:rPr>
            </w:pPr>
          </w:p>
        </w:tc>
      </w:tr>
      <w:tr w:rsidR="00357338" w:rsidRPr="00726F56" w:rsidTr="004562FD">
        <w:trPr>
          <w:jc w:val="center"/>
        </w:trPr>
        <w:tc>
          <w:tcPr>
            <w:tcW w:w="767" w:type="dxa"/>
          </w:tcPr>
          <w:p w:rsidR="00357338" w:rsidRPr="00726F56" w:rsidRDefault="00F67D7B" w:rsidP="00726F56">
            <w:pPr>
              <w:jc w:val="both"/>
              <w:rPr>
                <w:b/>
                <w:sz w:val="22"/>
                <w:szCs w:val="22"/>
              </w:rPr>
            </w:pPr>
            <w:proofErr w:type="spellStart"/>
            <w:r w:rsidRPr="00726F56">
              <w:rPr>
                <w:b/>
                <w:sz w:val="22"/>
                <w:szCs w:val="22"/>
              </w:rPr>
              <w:t>i</w:t>
            </w:r>
            <w:proofErr w:type="spellEnd"/>
            <w:r w:rsidRPr="00726F56">
              <w:rPr>
                <w:b/>
                <w:sz w:val="22"/>
                <w:szCs w:val="22"/>
              </w:rPr>
              <w:t>)</w:t>
            </w:r>
          </w:p>
        </w:tc>
        <w:tc>
          <w:tcPr>
            <w:tcW w:w="7027" w:type="dxa"/>
          </w:tcPr>
          <w:p w:rsidR="00357338" w:rsidRPr="00726F56" w:rsidRDefault="00357338" w:rsidP="00726F56">
            <w:pPr>
              <w:jc w:val="both"/>
              <w:rPr>
                <w:bCs/>
                <w:color w:val="000000"/>
                <w:sz w:val="22"/>
                <w:szCs w:val="22"/>
              </w:rPr>
            </w:pPr>
            <w:r w:rsidRPr="00726F56">
              <w:rPr>
                <w:sz w:val="22"/>
                <w:szCs w:val="22"/>
              </w:rPr>
              <w:t xml:space="preserve">The </w:t>
            </w:r>
            <w:r w:rsidR="00F67D7B" w:rsidRPr="00726F56">
              <w:rPr>
                <w:sz w:val="22"/>
                <w:szCs w:val="22"/>
              </w:rPr>
              <w:t xml:space="preserve">papers included a summary of the main changes to and contents of the </w:t>
            </w:r>
            <w:r w:rsidRPr="00726F56">
              <w:rPr>
                <w:sz w:val="22"/>
                <w:szCs w:val="22"/>
              </w:rPr>
              <w:t>Po</w:t>
            </w:r>
            <w:r w:rsidR="00F67D7B" w:rsidRPr="00726F56">
              <w:rPr>
                <w:sz w:val="22"/>
                <w:szCs w:val="22"/>
              </w:rPr>
              <w:t xml:space="preserve">st-16 Audit Code of Practice with the full version in </w:t>
            </w:r>
            <w:r w:rsidRPr="00726F56">
              <w:rPr>
                <w:sz w:val="22"/>
                <w:szCs w:val="22"/>
              </w:rPr>
              <w:t xml:space="preserve">the Supporting Papers Folder and a tracked changes version available on request.  </w:t>
            </w:r>
            <w:r w:rsidR="00F67D7B" w:rsidRPr="00726F56">
              <w:rPr>
                <w:sz w:val="22"/>
                <w:szCs w:val="22"/>
              </w:rPr>
              <w:t xml:space="preserve">The Clerk to the Corporation reminded Members that the Post-16 Audit Code of Practice was updated annually by the Education and Skills Funding Agency.  It had </w:t>
            </w:r>
            <w:r w:rsidRPr="00726F56">
              <w:rPr>
                <w:sz w:val="22"/>
                <w:szCs w:val="22"/>
              </w:rPr>
              <w:t xml:space="preserve">been stylistically </w:t>
            </w:r>
            <w:r w:rsidR="009D7B5D" w:rsidRPr="00726F56">
              <w:rPr>
                <w:sz w:val="22"/>
                <w:szCs w:val="22"/>
              </w:rPr>
              <w:t>revised,</w:t>
            </w:r>
            <w:r w:rsidR="00F67D7B" w:rsidRPr="00726F56">
              <w:rPr>
                <w:sz w:val="22"/>
                <w:szCs w:val="22"/>
              </w:rPr>
              <w:t xml:space="preserve"> with </w:t>
            </w:r>
            <w:r w:rsidRPr="00726F56">
              <w:rPr>
                <w:sz w:val="22"/>
                <w:szCs w:val="22"/>
              </w:rPr>
              <w:t>some additional definitions and legislation/guidance references and re other minor changes throughout</w:t>
            </w:r>
            <w:r w:rsidR="00F67D7B" w:rsidRPr="00726F56">
              <w:rPr>
                <w:sz w:val="22"/>
                <w:szCs w:val="22"/>
              </w:rPr>
              <w:t xml:space="preserve">.  Changes to the Audit Committee section would be reflected in </w:t>
            </w:r>
            <w:r w:rsidR="009D7B5D" w:rsidRPr="00726F56">
              <w:rPr>
                <w:sz w:val="22"/>
                <w:szCs w:val="22"/>
              </w:rPr>
              <w:t>the Terms</w:t>
            </w:r>
            <w:r w:rsidR="00F67D7B" w:rsidRPr="00726F56">
              <w:rPr>
                <w:sz w:val="22"/>
                <w:szCs w:val="22"/>
              </w:rPr>
              <w:t xml:space="preserve"> of Reference review in the autumn term. Members noted that  </w:t>
            </w:r>
            <w:r w:rsidR="00F67D7B" w:rsidRPr="00726F56">
              <w:rPr>
                <w:bCs/>
                <w:color w:val="000000"/>
                <w:sz w:val="22"/>
                <w:szCs w:val="22"/>
              </w:rPr>
              <w:t>“</w:t>
            </w:r>
            <w:r w:rsidR="00F67D7B" w:rsidRPr="00726F56">
              <w:rPr>
                <w:sz w:val="22"/>
                <w:szCs w:val="22"/>
              </w:rPr>
              <w:t>Corporations should be mindful of the new insolvency regime</w:t>
            </w:r>
            <w:hyperlink r:id="rId10" w:anchor="financial-and-estate-management">
              <w:r w:rsidR="00F67D7B" w:rsidRPr="00726F56">
                <w:rPr>
                  <w:sz w:val="22"/>
                  <w:szCs w:val="22"/>
                </w:rPr>
                <w:t xml:space="preserve"> </w:t>
              </w:r>
            </w:hyperlink>
            <w:r w:rsidR="00F67D7B" w:rsidRPr="00726F56">
              <w:rPr>
                <w:sz w:val="22"/>
                <w:szCs w:val="22"/>
              </w:rPr>
              <w:t>for further education bodies” and welcomed the d</w:t>
            </w:r>
            <w:r w:rsidR="00F67D7B" w:rsidRPr="00726F56">
              <w:rPr>
                <w:bCs/>
                <w:color w:val="000000"/>
                <w:sz w:val="22"/>
                <w:szCs w:val="22"/>
              </w:rPr>
              <w:t>eletion of last year’s added phrase that membership “should not include staff governors” and added footnote that “</w:t>
            </w:r>
            <w:r w:rsidR="00F67D7B" w:rsidRPr="00726F56">
              <w:rPr>
                <w:sz w:val="22"/>
                <w:szCs w:val="22"/>
              </w:rPr>
              <w:t xml:space="preserve">Corporations should consider whether staff-governor members of an audit committee meets good practice standards of independence and objectivity”.  </w:t>
            </w:r>
            <w:r w:rsidR="001F767C" w:rsidRPr="00726F56">
              <w:rPr>
                <w:sz w:val="22"/>
                <w:szCs w:val="22"/>
              </w:rPr>
              <w:t xml:space="preserve">The Fraud, regularity and reporting section had been significantly extended, with a list of main components and a new anti-fraud checklist .The Director of Finance had reviewed the checklist and </w:t>
            </w:r>
            <w:r w:rsidR="00D5129F" w:rsidRPr="00726F56">
              <w:rPr>
                <w:sz w:val="22"/>
                <w:szCs w:val="22"/>
              </w:rPr>
              <w:t>believed</w:t>
            </w:r>
            <w:r w:rsidR="001F767C" w:rsidRPr="00726F56">
              <w:rPr>
                <w:sz w:val="22"/>
                <w:szCs w:val="22"/>
              </w:rPr>
              <w:t xml:space="preserve"> that all questions </w:t>
            </w:r>
            <w:r w:rsidR="00D5129F" w:rsidRPr="00726F56">
              <w:rPr>
                <w:sz w:val="22"/>
                <w:szCs w:val="22"/>
              </w:rPr>
              <w:t>could</w:t>
            </w:r>
            <w:r w:rsidR="001F767C" w:rsidRPr="00726F56">
              <w:rPr>
                <w:sz w:val="22"/>
                <w:szCs w:val="22"/>
              </w:rPr>
              <w:t xml:space="preserve"> be answered positively</w:t>
            </w:r>
            <w:r w:rsidR="00D5129F" w:rsidRPr="00726F56">
              <w:rPr>
                <w:sz w:val="22"/>
                <w:szCs w:val="22"/>
              </w:rPr>
              <w:t xml:space="preserve">.  </w:t>
            </w:r>
          </w:p>
        </w:tc>
        <w:tc>
          <w:tcPr>
            <w:tcW w:w="1244" w:type="dxa"/>
          </w:tcPr>
          <w:p w:rsidR="00357338" w:rsidRPr="00726F56" w:rsidRDefault="00357338" w:rsidP="00726F56">
            <w:pPr>
              <w:pStyle w:val="NoSpacing"/>
              <w:jc w:val="both"/>
              <w:rPr>
                <w:b/>
                <w:sz w:val="22"/>
                <w:szCs w:val="22"/>
              </w:rPr>
            </w:pPr>
          </w:p>
          <w:p w:rsidR="00D5129F" w:rsidRPr="00726F56" w:rsidRDefault="00D5129F" w:rsidP="00726F56">
            <w:pPr>
              <w:pStyle w:val="NoSpacing"/>
              <w:jc w:val="both"/>
              <w:rPr>
                <w:b/>
                <w:sz w:val="22"/>
                <w:szCs w:val="22"/>
              </w:rPr>
            </w:pPr>
          </w:p>
          <w:p w:rsidR="00D5129F" w:rsidRPr="00726F56" w:rsidRDefault="00D5129F" w:rsidP="00726F56">
            <w:pPr>
              <w:pStyle w:val="NoSpacing"/>
              <w:jc w:val="both"/>
              <w:rPr>
                <w:b/>
                <w:sz w:val="22"/>
                <w:szCs w:val="22"/>
              </w:rPr>
            </w:pPr>
          </w:p>
          <w:p w:rsidR="00D5129F" w:rsidRPr="00726F56" w:rsidRDefault="00D5129F" w:rsidP="00726F56">
            <w:pPr>
              <w:pStyle w:val="NoSpacing"/>
              <w:jc w:val="both"/>
              <w:rPr>
                <w:b/>
                <w:sz w:val="22"/>
                <w:szCs w:val="22"/>
              </w:rPr>
            </w:pPr>
          </w:p>
          <w:p w:rsidR="00D5129F" w:rsidRPr="00726F56" w:rsidRDefault="00D5129F" w:rsidP="00726F56">
            <w:pPr>
              <w:pStyle w:val="NoSpacing"/>
              <w:jc w:val="both"/>
              <w:rPr>
                <w:b/>
                <w:sz w:val="22"/>
                <w:szCs w:val="22"/>
              </w:rPr>
            </w:pPr>
          </w:p>
          <w:p w:rsidR="00D5129F" w:rsidRPr="00726F56" w:rsidRDefault="00D5129F" w:rsidP="00726F56">
            <w:pPr>
              <w:pStyle w:val="NoSpacing"/>
              <w:jc w:val="both"/>
              <w:rPr>
                <w:b/>
                <w:sz w:val="22"/>
                <w:szCs w:val="22"/>
              </w:rPr>
            </w:pPr>
          </w:p>
          <w:p w:rsidR="00D5129F" w:rsidRPr="00726F56" w:rsidRDefault="00D5129F" w:rsidP="00726F56">
            <w:pPr>
              <w:pStyle w:val="NoSpacing"/>
              <w:jc w:val="both"/>
              <w:rPr>
                <w:b/>
                <w:sz w:val="22"/>
                <w:szCs w:val="22"/>
              </w:rPr>
            </w:pPr>
          </w:p>
          <w:p w:rsidR="00D5129F" w:rsidRPr="00726F56" w:rsidRDefault="00D5129F" w:rsidP="00726F56">
            <w:pPr>
              <w:pStyle w:val="NoSpacing"/>
              <w:jc w:val="both"/>
              <w:rPr>
                <w:b/>
                <w:sz w:val="22"/>
                <w:szCs w:val="22"/>
              </w:rPr>
            </w:pPr>
          </w:p>
          <w:p w:rsidR="00D5129F" w:rsidRPr="00726F56" w:rsidRDefault="00D5129F" w:rsidP="00726F56">
            <w:pPr>
              <w:pStyle w:val="NoSpacing"/>
              <w:jc w:val="both"/>
              <w:rPr>
                <w:b/>
                <w:sz w:val="22"/>
                <w:szCs w:val="22"/>
              </w:rPr>
            </w:pPr>
          </w:p>
          <w:p w:rsidR="00D5129F" w:rsidRPr="00726F56" w:rsidRDefault="00D5129F" w:rsidP="00726F56">
            <w:pPr>
              <w:pStyle w:val="NoSpacing"/>
              <w:jc w:val="both"/>
              <w:rPr>
                <w:b/>
                <w:sz w:val="22"/>
                <w:szCs w:val="22"/>
              </w:rPr>
            </w:pPr>
          </w:p>
          <w:p w:rsidR="00D5129F" w:rsidRPr="00726F56" w:rsidRDefault="00D5129F" w:rsidP="00726F56">
            <w:pPr>
              <w:pStyle w:val="NoSpacing"/>
              <w:jc w:val="both"/>
              <w:rPr>
                <w:b/>
                <w:sz w:val="22"/>
                <w:szCs w:val="22"/>
              </w:rPr>
            </w:pPr>
          </w:p>
          <w:p w:rsidR="00D5129F" w:rsidRPr="00726F56" w:rsidRDefault="00D5129F" w:rsidP="00726F56">
            <w:pPr>
              <w:pStyle w:val="NoSpacing"/>
              <w:jc w:val="both"/>
              <w:rPr>
                <w:b/>
                <w:sz w:val="22"/>
                <w:szCs w:val="22"/>
              </w:rPr>
            </w:pPr>
          </w:p>
          <w:p w:rsidR="00D5129F" w:rsidRPr="00726F56" w:rsidRDefault="00D5129F" w:rsidP="00726F56">
            <w:pPr>
              <w:pStyle w:val="NoSpacing"/>
              <w:jc w:val="both"/>
              <w:rPr>
                <w:b/>
                <w:sz w:val="22"/>
                <w:szCs w:val="22"/>
              </w:rPr>
            </w:pPr>
          </w:p>
        </w:tc>
      </w:tr>
      <w:tr w:rsidR="00D5129F" w:rsidRPr="00726F56" w:rsidTr="004562FD">
        <w:trPr>
          <w:jc w:val="center"/>
        </w:trPr>
        <w:tc>
          <w:tcPr>
            <w:tcW w:w="767" w:type="dxa"/>
          </w:tcPr>
          <w:p w:rsidR="00D5129F" w:rsidRPr="00726F56" w:rsidRDefault="00D5129F" w:rsidP="00726F56">
            <w:pPr>
              <w:jc w:val="both"/>
              <w:rPr>
                <w:b/>
                <w:sz w:val="22"/>
                <w:szCs w:val="22"/>
              </w:rPr>
            </w:pPr>
          </w:p>
        </w:tc>
        <w:tc>
          <w:tcPr>
            <w:tcW w:w="7027" w:type="dxa"/>
          </w:tcPr>
          <w:p w:rsidR="00D5129F" w:rsidRPr="00726F56" w:rsidRDefault="00D5129F" w:rsidP="00726F56">
            <w:pPr>
              <w:jc w:val="both"/>
              <w:rPr>
                <w:sz w:val="22"/>
                <w:szCs w:val="22"/>
              </w:rPr>
            </w:pPr>
          </w:p>
        </w:tc>
        <w:tc>
          <w:tcPr>
            <w:tcW w:w="1244" w:type="dxa"/>
          </w:tcPr>
          <w:p w:rsidR="00D5129F" w:rsidRPr="00726F56" w:rsidRDefault="00D5129F" w:rsidP="00726F56">
            <w:pPr>
              <w:pStyle w:val="NoSpacing"/>
              <w:jc w:val="both"/>
              <w:rPr>
                <w:b/>
                <w:sz w:val="22"/>
                <w:szCs w:val="22"/>
              </w:rPr>
            </w:pPr>
          </w:p>
        </w:tc>
      </w:tr>
      <w:tr w:rsidR="00D5129F" w:rsidRPr="00726F56" w:rsidTr="004562FD">
        <w:trPr>
          <w:jc w:val="center"/>
        </w:trPr>
        <w:tc>
          <w:tcPr>
            <w:tcW w:w="767" w:type="dxa"/>
          </w:tcPr>
          <w:p w:rsidR="00D5129F" w:rsidRPr="00726F56" w:rsidRDefault="00D5129F" w:rsidP="00726F56">
            <w:pPr>
              <w:jc w:val="both"/>
              <w:rPr>
                <w:b/>
                <w:sz w:val="22"/>
                <w:szCs w:val="22"/>
              </w:rPr>
            </w:pPr>
            <w:r w:rsidRPr="00726F56">
              <w:rPr>
                <w:sz w:val="22"/>
                <w:szCs w:val="22"/>
                <w:lang w:eastAsia="en-US"/>
              </w:rPr>
              <w:br w:type="page"/>
            </w:r>
            <w:r w:rsidRPr="00726F56">
              <w:rPr>
                <w:b/>
                <w:sz w:val="22"/>
                <w:szCs w:val="22"/>
              </w:rPr>
              <w:t>ii)</w:t>
            </w:r>
          </w:p>
        </w:tc>
        <w:tc>
          <w:tcPr>
            <w:tcW w:w="7027" w:type="dxa"/>
          </w:tcPr>
          <w:p w:rsidR="00D5129F" w:rsidRPr="00726F56" w:rsidRDefault="00D5129F" w:rsidP="00726F56">
            <w:pPr>
              <w:jc w:val="both"/>
              <w:rPr>
                <w:sz w:val="22"/>
                <w:szCs w:val="22"/>
              </w:rPr>
            </w:pPr>
            <w:r w:rsidRPr="00726F56">
              <w:rPr>
                <w:sz w:val="22"/>
                <w:szCs w:val="22"/>
              </w:rPr>
              <w:t>The Audit Committee:</w:t>
            </w:r>
          </w:p>
          <w:p w:rsidR="00D5129F" w:rsidRPr="00726F56" w:rsidRDefault="00D5129F" w:rsidP="00726F56">
            <w:pPr>
              <w:pStyle w:val="ListParagraph"/>
              <w:numPr>
                <w:ilvl w:val="0"/>
                <w:numId w:val="40"/>
              </w:numPr>
              <w:jc w:val="both"/>
              <w:rPr>
                <w:sz w:val="22"/>
                <w:szCs w:val="22"/>
              </w:rPr>
            </w:pPr>
            <w:r w:rsidRPr="00726F56">
              <w:rPr>
                <w:b/>
                <w:sz w:val="22"/>
                <w:szCs w:val="22"/>
              </w:rPr>
              <w:t>RECEIVED</w:t>
            </w:r>
            <w:r w:rsidRPr="00726F56">
              <w:rPr>
                <w:sz w:val="22"/>
                <w:szCs w:val="22"/>
              </w:rPr>
              <w:t xml:space="preserve"> the replacement for the </w:t>
            </w:r>
            <w:r w:rsidRPr="00726F56">
              <w:rPr>
                <w:bCs/>
                <w:sz w:val="22"/>
                <w:szCs w:val="22"/>
              </w:rPr>
              <w:t>Post-16 Audit Code of Practice 2017 to 2018</w:t>
            </w:r>
          </w:p>
          <w:p w:rsidR="00D5129F" w:rsidRPr="00726F56" w:rsidRDefault="00D5129F" w:rsidP="00726F56">
            <w:pPr>
              <w:pStyle w:val="ListParagraph"/>
              <w:numPr>
                <w:ilvl w:val="0"/>
                <w:numId w:val="40"/>
              </w:numPr>
              <w:jc w:val="both"/>
              <w:rPr>
                <w:sz w:val="22"/>
                <w:szCs w:val="22"/>
              </w:rPr>
            </w:pPr>
            <w:r w:rsidRPr="00726F56">
              <w:rPr>
                <w:b/>
                <w:sz w:val="22"/>
                <w:szCs w:val="22"/>
              </w:rPr>
              <w:t>CONSIDERED</w:t>
            </w:r>
            <w:r w:rsidRPr="00726F56">
              <w:rPr>
                <w:sz w:val="22"/>
                <w:szCs w:val="22"/>
              </w:rPr>
              <w:t xml:space="preserve"> its implications </w:t>
            </w:r>
          </w:p>
          <w:p w:rsidR="00D5129F" w:rsidRPr="00726F56" w:rsidRDefault="00D5129F" w:rsidP="00726F56">
            <w:pPr>
              <w:pStyle w:val="ListParagraph"/>
              <w:numPr>
                <w:ilvl w:val="0"/>
                <w:numId w:val="40"/>
              </w:numPr>
              <w:jc w:val="both"/>
              <w:rPr>
                <w:sz w:val="22"/>
                <w:szCs w:val="22"/>
              </w:rPr>
            </w:pPr>
            <w:r w:rsidRPr="00726F56">
              <w:rPr>
                <w:b/>
                <w:sz w:val="22"/>
                <w:szCs w:val="22"/>
              </w:rPr>
              <w:t>NOTED</w:t>
            </w:r>
            <w:r w:rsidRPr="00726F56">
              <w:rPr>
                <w:sz w:val="22"/>
                <w:szCs w:val="22"/>
              </w:rPr>
              <w:t xml:space="preserve"> that it no longer stated that Staff Governors should not be Members </w:t>
            </w:r>
          </w:p>
          <w:p w:rsidR="00D5129F" w:rsidRPr="00726F56" w:rsidRDefault="00D5129F" w:rsidP="00726F56">
            <w:pPr>
              <w:pStyle w:val="ListParagraph"/>
              <w:numPr>
                <w:ilvl w:val="0"/>
                <w:numId w:val="40"/>
              </w:numPr>
              <w:jc w:val="both"/>
              <w:rPr>
                <w:sz w:val="22"/>
                <w:szCs w:val="22"/>
              </w:rPr>
            </w:pPr>
            <w:r w:rsidRPr="00726F56">
              <w:rPr>
                <w:b/>
                <w:sz w:val="22"/>
                <w:szCs w:val="22"/>
              </w:rPr>
              <w:t xml:space="preserve">NOTED </w:t>
            </w:r>
            <w:r w:rsidRPr="00AB4330">
              <w:rPr>
                <w:sz w:val="22"/>
                <w:szCs w:val="22"/>
              </w:rPr>
              <w:t>that compliance</w:t>
            </w:r>
            <w:r w:rsidRPr="00726F56">
              <w:rPr>
                <w:sz w:val="22"/>
                <w:szCs w:val="22"/>
              </w:rPr>
              <w:t xml:space="preserve"> with the Fraud, regularity and reporting sections would also be considered in the Whistleblowing, Fraud and Bribery Review, normally in the spring term.  </w:t>
            </w:r>
          </w:p>
        </w:tc>
        <w:tc>
          <w:tcPr>
            <w:tcW w:w="1244" w:type="dxa"/>
          </w:tcPr>
          <w:p w:rsidR="00D5129F" w:rsidRPr="00726F56" w:rsidRDefault="00D5129F" w:rsidP="00726F56">
            <w:pPr>
              <w:pStyle w:val="NoSpacing"/>
              <w:jc w:val="both"/>
              <w:rPr>
                <w:b/>
                <w:sz w:val="22"/>
                <w:szCs w:val="22"/>
              </w:rPr>
            </w:pPr>
          </w:p>
          <w:p w:rsidR="00D5129F" w:rsidRPr="00726F56" w:rsidRDefault="00D5129F" w:rsidP="00726F56">
            <w:pPr>
              <w:pStyle w:val="NoSpacing"/>
              <w:jc w:val="both"/>
              <w:rPr>
                <w:b/>
                <w:sz w:val="22"/>
                <w:szCs w:val="22"/>
              </w:rPr>
            </w:pPr>
          </w:p>
          <w:p w:rsidR="00D5129F" w:rsidRPr="00726F56" w:rsidRDefault="00D5129F" w:rsidP="00726F56">
            <w:pPr>
              <w:pStyle w:val="NoSpacing"/>
              <w:jc w:val="both"/>
              <w:rPr>
                <w:b/>
                <w:sz w:val="22"/>
                <w:szCs w:val="22"/>
              </w:rPr>
            </w:pPr>
          </w:p>
          <w:p w:rsidR="00D5129F" w:rsidRPr="00726F56" w:rsidRDefault="00D5129F" w:rsidP="00726F56">
            <w:pPr>
              <w:pStyle w:val="NoSpacing"/>
              <w:jc w:val="both"/>
              <w:rPr>
                <w:b/>
                <w:sz w:val="22"/>
                <w:szCs w:val="22"/>
              </w:rPr>
            </w:pPr>
          </w:p>
          <w:p w:rsidR="00D5129F" w:rsidRPr="00726F56" w:rsidRDefault="00D5129F" w:rsidP="00726F56">
            <w:pPr>
              <w:pStyle w:val="NoSpacing"/>
              <w:jc w:val="both"/>
              <w:rPr>
                <w:b/>
                <w:sz w:val="22"/>
                <w:szCs w:val="22"/>
              </w:rPr>
            </w:pPr>
          </w:p>
          <w:p w:rsidR="00D5129F" w:rsidRPr="00726F56" w:rsidRDefault="00D5129F" w:rsidP="00726F56">
            <w:pPr>
              <w:pStyle w:val="NoSpacing"/>
              <w:jc w:val="both"/>
              <w:rPr>
                <w:b/>
                <w:sz w:val="22"/>
                <w:szCs w:val="22"/>
              </w:rPr>
            </w:pPr>
          </w:p>
          <w:p w:rsidR="00D5129F" w:rsidRPr="00726F56" w:rsidRDefault="00D5129F" w:rsidP="00726F56">
            <w:pPr>
              <w:pStyle w:val="NoSpacing"/>
              <w:jc w:val="both"/>
              <w:rPr>
                <w:b/>
                <w:sz w:val="22"/>
                <w:szCs w:val="22"/>
              </w:rPr>
            </w:pPr>
          </w:p>
          <w:p w:rsidR="00D5129F" w:rsidRPr="00726F56" w:rsidRDefault="00D5129F" w:rsidP="00726F56">
            <w:pPr>
              <w:pStyle w:val="NoSpacing"/>
              <w:jc w:val="both"/>
              <w:rPr>
                <w:b/>
                <w:sz w:val="22"/>
                <w:szCs w:val="22"/>
              </w:rPr>
            </w:pPr>
            <w:r w:rsidRPr="00726F56">
              <w:rPr>
                <w:b/>
                <w:sz w:val="22"/>
                <w:szCs w:val="22"/>
              </w:rPr>
              <w:t>DF/</w:t>
            </w:r>
          </w:p>
          <w:p w:rsidR="00D5129F" w:rsidRPr="00726F56" w:rsidRDefault="00D5129F" w:rsidP="00726F56">
            <w:pPr>
              <w:pStyle w:val="NoSpacing"/>
              <w:jc w:val="both"/>
              <w:rPr>
                <w:b/>
                <w:sz w:val="22"/>
                <w:szCs w:val="22"/>
              </w:rPr>
            </w:pPr>
            <w:r w:rsidRPr="00726F56">
              <w:rPr>
                <w:b/>
                <w:sz w:val="22"/>
                <w:szCs w:val="22"/>
              </w:rPr>
              <w:t>CC</w:t>
            </w:r>
          </w:p>
        </w:tc>
      </w:tr>
      <w:tr w:rsidR="00D5129F" w:rsidRPr="00726F56" w:rsidTr="004562FD">
        <w:trPr>
          <w:jc w:val="center"/>
        </w:trPr>
        <w:tc>
          <w:tcPr>
            <w:tcW w:w="767" w:type="dxa"/>
          </w:tcPr>
          <w:p w:rsidR="00D5129F" w:rsidRPr="00726F56" w:rsidRDefault="00D5129F" w:rsidP="00726F56">
            <w:pPr>
              <w:jc w:val="both"/>
              <w:rPr>
                <w:b/>
                <w:sz w:val="22"/>
                <w:szCs w:val="22"/>
              </w:rPr>
            </w:pPr>
          </w:p>
        </w:tc>
        <w:tc>
          <w:tcPr>
            <w:tcW w:w="7027" w:type="dxa"/>
          </w:tcPr>
          <w:p w:rsidR="00D5129F" w:rsidRPr="00726F56" w:rsidRDefault="00D5129F" w:rsidP="00726F56">
            <w:pPr>
              <w:jc w:val="both"/>
              <w:rPr>
                <w:b/>
                <w:sz w:val="22"/>
                <w:szCs w:val="22"/>
              </w:rPr>
            </w:pPr>
          </w:p>
        </w:tc>
        <w:tc>
          <w:tcPr>
            <w:tcW w:w="1244" w:type="dxa"/>
          </w:tcPr>
          <w:p w:rsidR="00D5129F" w:rsidRPr="00726F56" w:rsidRDefault="00D5129F" w:rsidP="00726F56">
            <w:pPr>
              <w:pStyle w:val="NoSpacing"/>
              <w:jc w:val="both"/>
              <w:rPr>
                <w:b/>
                <w:sz w:val="22"/>
                <w:szCs w:val="22"/>
              </w:rPr>
            </w:pPr>
          </w:p>
        </w:tc>
      </w:tr>
      <w:tr w:rsidR="00D5129F" w:rsidRPr="00726F56" w:rsidTr="004562FD">
        <w:trPr>
          <w:jc w:val="center"/>
        </w:trPr>
        <w:tc>
          <w:tcPr>
            <w:tcW w:w="767" w:type="dxa"/>
          </w:tcPr>
          <w:p w:rsidR="00D5129F" w:rsidRPr="00726F56" w:rsidRDefault="00D5129F" w:rsidP="00726F56">
            <w:pPr>
              <w:jc w:val="both"/>
              <w:rPr>
                <w:b/>
                <w:sz w:val="22"/>
                <w:szCs w:val="22"/>
              </w:rPr>
            </w:pPr>
            <w:r w:rsidRPr="00726F56">
              <w:rPr>
                <w:b/>
                <w:sz w:val="22"/>
                <w:szCs w:val="22"/>
              </w:rPr>
              <w:t>17.16</w:t>
            </w:r>
          </w:p>
        </w:tc>
        <w:tc>
          <w:tcPr>
            <w:tcW w:w="7027" w:type="dxa"/>
          </w:tcPr>
          <w:p w:rsidR="00D5129F" w:rsidRPr="00726F56" w:rsidRDefault="00D5129F" w:rsidP="00726F56">
            <w:pPr>
              <w:pStyle w:val="NormalWeb"/>
              <w:jc w:val="both"/>
              <w:rPr>
                <w:rFonts w:ascii="Arial" w:hAnsi="Arial" w:cs="Arial"/>
                <w:b/>
                <w:bCs/>
                <w:color w:val="000000"/>
                <w:sz w:val="22"/>
                <w:szCs w:val="22"/>
              </w:rPr>
            </w:pPr>
            <w:r w:rsidRPr="00726F56">
              <w:rPr>
                <w:rFonts w:ascii="Arial" w:hAnsi="Arial" w:cs="Arial"/>
                <w:b/>
                <w:color w:val="000000"/>
                <w:sz w:val="22"/>
                <w:szCs w:val="22"/>
              </w:rPr>
              <w:t xml:space="preserve">Value For Money Policy </w:t>
            </w:r>
          </w:p>
        </w:tc>
        <w:tc>
          <w:tcPr>
            <w:tcW w:w="1244" w:type="dxa"/>
          </w:tcPr>
          <w:p w:rsidR="00D5129F" w:rsidRPr="00726F56" w:rsidRDefault="00D5129F" w:rsidP="00726F56">
            <w:pPr>
              <w:pStyle w:val="NoSpacing"/>
              <w:jc w:val="both"/>
              <w:rPr>
                <w:b/>
                <w:sz w:val="22"/>
                <w:szCs w:val="22"/>
              </w:rPr>
            </w:pPr>
          </w:p>
        </w:tc>
      </w:tr>
      <w:tr w:rsidR="00D5129F" w:rsidRPr="00726F56" w:rsidTr="004562FD">
        <w:trPr>
          <w:jc w:val="center"/>
        </w:trPr>
        <w:tc>
          <w:tcPr>
            <w:tcW w:w="767" w:type="dxa"/>
          </w:tcPr>
          <w:p w:rsidR="00D5129F" w:rsidRPr="00726F56" w:rsidRDefault="00D5129F" w:rsidP="00726F56">
            <w:pPr>
              <w:jc w:val="both"/>
              <w:rPr>
                <w:b/>
                <w:sz w:val="22"/>
                <w:szCs w:val="22"/>
              </w:rPr>
            </w:pPr>
            <w:proofErr w:type="spellStart"/>
            <w:r w:rsidRPr="00726F56">
              <w:rPr>
                <w:b/>
                <w:sz w:val="22"/>
                <w:szCs w:val="22"/>
              </w:rPr>
              <w:t>i</w:t>
            </w:r>
            <w:proofErr w:type="spellEnd"/>
            <w:r w:rsidRPr="00726F56">
              <w:rPr>
                <w:b/>
                <w:sz w:val="22"/>
                <w:szCs w:val="22"/>
              </w:rPr>
              <w:t>)</w:t>
            </w:r>
          </w:p>
        </w:tc>
        <w:tc>
          <w:tcPr>
            <w:tcW w:w="7027" w:type="dxa"/>
          </w:tcPr>
          <w:p w:rsidR="00D5129F" w:rsidRPr="00726F56" w:rsidRDefault="00D5129F" w:rsidP="00726F56">
            <w:pPr>
              <w:jc w:val="both"/>
              <w:rPr>
                <w:sz w:val="22"/>
                <w:szCs w:val="22"/>
              </w:rPr>
            </w:pPr>
            <w:r w:rsidRPr="00726F56">
              <w:rPr>
                <w:sz w:val="22"/>
                <w:szCs w:val="22"/>
              </w:rPr>
              <w:t xml:space="preserve">The Director of Finance reminded members that the policy addressed requirements of the Financial Memorandum and Funding Agencies.  There was one change to </w:t>
            </w:r>
            <w:r w:rsidR="004E3F64" w:rsidRPr="00726F56">
              <w:rPr>
                <w:sz w:val="22"/>
                <w:szCs w:val="22"/>
              </w:rPr>
              <w:t xml:space="preserve">bring </w:t>
            </w:r>
            <w:r w:rsidRPr="00726F56">
              <w:rPr>
                <w:sz w:val="22"/>
                <w:szCs w:val="22"/>
              </w:rPr>
              <w:t xml:space="preserve">the definition of </w:t>
            </w:r>
            <w:r w:rsidR="009D7B5D" w:rsidRPr="00726F56">
              <w:rPr>
                <w:sz w:val="22"/>
                <w:szCs w:val="22"/>
              </w:rPr>
              <w:t>Economy</w:t>
            </w:r>
            <w:r w:rsidRPr="00726F56">
              <w:rPr>
                <w:sz w:val="22"/>
                <w:szCs w:val="22"/>
              </w:rPr>
              <w:t xml:space="preserve"> Efficiency and Effectiveness in</w:t>
            </w:r>
            <w:r w:rsidR="004E3F64" w:rsidRPr="00726F56">
              <w:rPr>
                <w:sz w:val="22"/>
                <w:szCs w:val="22"/>
              </w:rPr>
              <w:t>to</w:t>
            </w:r>
            <w:r w:rsidRPr="00726F56">
              <w:rPr>
                <w:sz w:val="22"/>
                <w:szCs w:val="22"/>
              </w:rPr>
              <w:t xml:space="preserve"> line with National Audit Office definitions.   </w:t>
            </w:r>
          </w:p>
        </w:tc>
        <w:tc>
          <w:tcPr>
            <w:tcW w:w="1244" w:type="dxa"/>
          </w:tcPr>
          <w:p w:rsidR="00D5129F" w:rsidRPr="00726F56" w:rsidRDefault="00D5129F" w:rsidP="00726F56">
            <w:pPr>
              <w:pStyle w:val="NoSpacing"/>
              <w:jc w:val="both"/>
              <w:rPr>
                <w:b/>
                <w:sz w:val="22"/>
                <w:szCs w:val="22"/>
              </w:rPr>
            </w:pPr>
          </w:p>
        </w:tc>
      </w:tr>
      <w:tr w:rsidR="00D5129F" w:rsidRPr="00726F56" w:rsidTr="004562FD">
        <w:trPr>
          <w:jc w:val="center"/>
        </w:trPr>
        <w:tc>
          <w:tcPr>
            <w:tcW w:w="767" w:type="dxa"/>
          </w:tcPr>
          <w:p w:rsidR="00D5129F" w:rsidRPr="00726F56" w:rsidRDefault="00D5129F" w:rsidP="00726F56">
            <w:pPr>
              <w:jc w:val="both"/>
              <w:rPr>
                <w:b/>
                <w:sz w:val="22"/>
                <w:szCs w:val="22"/>
              </w:rPr>
            </w:pPr>
          </w:p>
        </w:tc>
        <w:tc>
          <w:tcPr>
            <w:tcW w:w="7027" w:type="dxa"/>
          </w:tcPr>
          <w:p w:rsidR="00D5129F" w:rsidRPr="00726F56" w:rsidRDefault="00D5129F" w:rsidP="00726F56">
            <w:pPr>
              <w:jc w:val="both"/>
              <w:rPr>
                <w:rFonts w:eastAsiaTheme="minorHAnsi"/>
                <w:b/>
                <w:bCs/>
                <w:color w:val="000000"/>
                <w:sz w:val="22"/>
                <w:szCs w:val="22"/>
              </w:rPr>
            </w:pPr>
          </w:p>
        </w:tc>
        <w:tc>
          <w:tcPr>
            <w:tcW w:w="1244" w:type="dxa"/>
          </w:tcPr>
          <w:p w:rsidR="00D5129F" w:rsidRPr="00726F56" w:rsidRDefault="00D5129F" w:rsidP="00726F56">
            <w:pPr>
              <w:pStyle w:val="NoSpacing"/>
              <w:jc w:val="both"/>
              <w:rPr>
                <w:b/>
                <w:sz w:val="22"/>
                <w:szCs w:val="22"/>
              </w:rPr>
            </w:pPr>
          </w:p>
        </w:tc>
      </w:tr>
      <w:tr w:rsidR="00D5129F" w:rsidRPr="00726F56" w:rsidTr="004562FD">
        <w:trPr>
          <w:jc w:val="center"/>
        </w:trPr>
        <w:tc>
          <w:tcPr>
            <w:tcW w:w="767" w:type="dxa"/>
          </w:tcPr>
          <w:p w:rsidR="00D5129F" w:rsidRPr="00726F56" w:rsidRDefault="004E3F64" w:rsidP="00726F56">
            <w:pPr>
              <w:jc w:val="both"/>
              <w:rPr>
                <w:b/>
                <w:sz w:val="22"/>
                <w:szCs w:val="22"/>
              </w:rPr>
            </w:pPr>
            <w:r w:rsidRPr="00726F56">
              <w:rPr>
                <w:b/>
                <w:sz w:val="22"/>
                <w:szCs w:val="22"/>
              </w:rPr>
              <w:t>ii)</w:t>
            </w:r>
          </w:p>
        </w:tc>
        <w:tc>
          <w:tcPr>
            <w:tcW w:w="7027" w:type="dxa"/>
          </w:tcPr>
          <w:p w:rsidR="00D5129F" w:rsidRPr="00726F56" w:rsidRDefault="00D5129F" w:rsidP="00726F56">
            <w:pPr>
              <w:jc w:val="both"/>
              <w:rPr>
                <w:rFonts w:eastAsiaTheme="minorHAnsi"/>
                <w:b/>
                <w:bCs/>
                <w:color w:val="000000"/>
                <w:sz w:val="22"/>
                <w:szCs w:val="22"/>
              </w:rPr>
            </w:pPr>
            <w:r w:rsidRPr="00726F56">
              <w:rPr>
                <w:rFonts w:eastAsiaTheme="minorHAnsi"/>
                <w:bCs/>
                <w:color w:val="000000"/>
                <w:sz w:val="22"/>
                <w:szCs w:val="22"/>
              </w:rPr>
              <w:t xml:space="preserve">The Audit Committee </w:t>
            </w:r>
            <w:r w:rsidRPr="00726F56">
              <w:rPr>
                <w:rFonts w:eastAsiaTheme="minorHAnsi"/>
                <w:b/>
                <w:bCs/>
                <w:color w:val="000000"/>
                <w:sz w:val="22"/>
                <w:szCs w:val="22"/>
              </w:rPr>
              <w:t>REVIEWED</w:t>
            </w:r>
            <w:r w:rsidRPr="00726F56">
              <w:rPr>
                <w:rFonts w:eastAsiaTheme="minorHAnsi"/>
                <w:bCs/>
                <w:color w:val="000000"/>
                <w:sz w:val="22"/>
                <w:szCs w:val="22"/>
              </w:rPr>
              <w:t xml:space="preserve"> changes to the </w:t>
            </w:r>
            <w:r w:rsidRPr="00726F56">
              <w:rPr>
                <w:color w:val="000000"/>
                <w:sz w:val="22"/>
                <w:szCs w:val="22"/>
              </w:rPr>
              <w:t xml:space="preserve">Value for Money Policy </w:t>
            </w:r>
            <w:r w:rsidRPr="00726F56">
              <w:rPr>
                <w:sz w:val="22"/>
                <w:szCs w:val="22"/>
              </w:rPr>
              <w:t xml:space="preserve">and </w:t>
            </w:r>
            <w:r w:rsidRPr="00726F56">
              <w:rPr>
                <w:b/>
                <w:sz w:val="22"/>
                <w:szCs w:val="22"/>
              </w:rPr>
              <w:t>AGREED TO RECOMMEND</w:t>
            </w:r>
            <w:r w:rsidRPr="00726F56">
              <w:rPr>
                <w:sz w:val="22"/>
                <w:szCs w:val="22"/>
              </w:rPr>
              <w:t xml:space="preserve"> them to the Corporation for approval</w:t>
            </w:r>
          </w:p>
        </w:tc>
        <w:tc>
          <w:tcPr>
            <w:tcW w:w="1244" w:type="dxa"/>
          </w:tcPr>
          <w:p w:rsidR="00AB4330" w:rsidRDefault="00AB4330" w:rsidP="00726F56">
            <w:pPr>
              <w:pStyle w:val="NoSpacing"/>
              <w:jc w:val="both"/>
              <w:rPr>
                <w:b/>
                <w:sz w:val="22"/>
                <w:szCs w:val="22"/>
              </w:rPr>
            </w:pPr>
          </w:p>
          <w:p w:rsidR="00D5129F" w:rsidRPr="00726F56" w:rsidRDefault="00D5129F" w:rsidP="00726F56">
            <w:pPr>
              <w:pStyle w:val="NoSpacing"/>
              <w:jc w:val="both"/>
              <w:rPr>
                <w:b/>
                <w:sz w:val="22"/>
                <w:szCs w:val="22"/>
              </w:rPr>
            </w:pPr>
            <w:r w:rsidRPr="00726F56">
              <w:rPr>
                <w:b/>
                <w:sz w:val="22"/>
                <w:szCs w:val="22"/>
              </w:rPr>
              <w:t>CC</w:t>
            </w:r>
          </w:p>
        </w:tc>
      </w:tr>
      <w:tr w:rsidR="00D5129F" w:rsidRPr="00726F56" w:rsidTr="004562FD">
        <w:trPr>
          <w:jc w:val="center"/>
        </w:trPr>
        <w:tc>
          <w:tcPr>
            <w:tcW w:w="767" w:type="dxa"/>
          </w:tcPr>
          <w:p w:rsidR="00D5129F" w:rsidRPr="00726F56" w:rsidRDefault="00D5129F" w:rsidP="00726F56">
            <w:pPr>
              <w:jc w:val="both"/>
              <w:rPr>
                <w:b/>
                <w:sz w:val="22"/>
                <w:szCs w:val="22"/>
              </w:rPr>
            </w:pPr>
          </w:p>
        </w:tc>
        <w:tc>
          <w:tcPr>
            <w:tcW w:w="7027" w:type="dxa"/>
          </w:tcPr>
          <w:p w:rsidR="00D5129F" w:rsidRPr="00726F56" w:rsidRDefault="00D5129F" w:rsidP="00726F56">
            <w:pPr>
              <w:jc w:val="both"/>
              <w:rPr>
                <w:rFonts w:eastAsiaTheme="minorHAnsi"/>
                <w:b/>
                <w:bCs/>
                <w:color w:val="000000"/>
                <w:sz w:val="22"/>
                <w:szCs w:val="22"/>
              </w:rPr>
            </w:pPr>
          </w:p>
        </w:tc>
        <w:tc>
          <w:tcPr>
            <w:tcW w:w="1244" w:type="dxa"/>
          </w:tcPr>
          <w:p w:rsidR="00D5129F" w:rsidRPr="00726F56" w:rsidRDefault="00D5129F" w:rsidP="00726F56">
            <w:pPr>
              <w:pStyle w:val="NoSpacing"/>
              <w:jc w:val="both"/>
              <w:rPr>
                <w:b/>
                <w:sz w:val="22"/>
                <w:szCs w:val="22"/>
              </w:rPr>
            </w:pPr>
          </w:p>
        </w:tc>
      </w:tr>
      <w:tr w:rsidR="00D5129F" w:rsidRPr="00726F56" w:rsidTr="004562FD">
        <w:trPr>
          <w:jc w:val="center"/>
        </w:trPr>
        <w:tc>
          <w:tcPr>
            <w:tcW w:w="767" w:type="dxa"/>
          </w:tcPr>
          <w:p w:rsidR="00D5129F" w:rsidRPr="00726F56" w:rsidRDefault="00D5129F" w:rsidP="00726F56">
            <w:pPr>
              <w:jc w:val="both"/>
              <w:rPr>
                <w:b/>
                <w:sz w:val="22"/>
                <w:szCs w:val="22"/>
              </w:rPr>
            </w:pPr>
            <w:r w:rsidRPr="00726F56">
              <w:rPr>
                <w:b/>
                <w:sz w:val="22"/>
                <w:szCs w:val="22"/>
              </w:rPr>
              <w:t>17.17</w:t>
            </w:r>
          </w:p>
        </w:tc>
        <w:tc>
          <w:tcPr>
            <w:tcW w:w="7027" w:type="dxa"/>
          </w:tcPr>
          <w:p w:rsidR="00D5129F" w:rsidRPr="00726F56" w:rsidRDefault="00D5129F" w:rsidP="00726F56">
            <w:pPr>
              <w:jc w:val="both"/>
              <w:rPr>
                <w:b/>
                <w:sz w:val="22"/>
                <w:szCs w:val="22"/>
              </w:rPr>
            </w:pPr>
            <w:r w:rsidRPr="00726F56">
              <w:rPr>
                <w:rFonts w:eastAsiaTheme="minorHAnsi"/>
                <w:b/>
                <w:bCs/>
                <w:color w:val="000000"/>
                <w:sz w:val="22"/>
                <w:szCs w:val="22"/>
              </w:rPr>
              <w:t>Whistleblowing Procedure</w:t>
            </w:r>
          </w:p>
        </w:tc>
        <w:tc>
          <w:tcPr>
            <w:tcW w:w="1244" w:type="dxa"/>
          </w:tcPr>
          <w:p w:rsidR="00D5129F" w:rsidRPr="00726F56" w:rsidRDefault="00D5129F" w:rsidP="00726F56">
            <w:pPr>
              <w:pStyle w:val="NoSpacing"/>
              <w:jc w:val="both"/>
              <w:rPr>
                <w:b/>
                <w:sz w:val="22"/>
                <w:szCs w:val="22"/>
              </w:rPr>
            </w:pPr>
          </w:p>
        </w:tc>
      </w:tr>
      <w:tr w:rsidR="00D5129F" w:rsidRPr="00726F56" w:rsidTr="004562FD">
        <w:trPr>
          <w:jc w:val="center"/>
        </w:trPr>
        <w:tc>
          <w:tcPr>
            <w:tcW w:w="767" w:type="dxa"/>
          </w:tcPr>
          <w:p w:rsidR="00D5129F" w:rsidRPr="00726F56" w:rsidRDefault="00D5129F" w:rsidP="00726F56">
            <w:pPr>
              <w:jc w:val="both"/>
              <w:rPr>
                <w:b/>
                <w:sz w:val="22"/>
                <w:szCs w:val="22"/>
              </w:rPr>
            </w:pPr>
            <w:proofErr w:type="spellStart"/>
            <w:r w:rsidRPr="00726F56">
              <w:rPr>
                <w:b/>
                <w:sz w:val="22"/>
                <w:szCs w:val="22"/>
              </w:rPr>
              <w:t>i</w:t>
            </w:r>
            <w:proofErr w:type="spellEnd"/>
            <w:r w:rsidRPr="00726F56">
              <w:rPr>
                <w:b/>
                <w:sz w:val="22"/>
                <w:szCs w:val="22"/>
              </w:rPr>
              <w:t>)</w:t>
            </w:r>
          </w:p>
        </w:tc>
        <w:tc>
          <w:tcPr>
            <w:tcW w:w="7027" w:type="dxa"/>
          </w:tcPr>
          <w:p w:rsidR="00D5129F" w:rsidRPr="00726F56" w:rsidRDefault="00D5129F" w:rsidP="00726F56">
            <w:pPr>
              <w:jc w:val="both"/>
              <w:rPr>
                <w:sz w:val="22"/>
                <w:szCs w:val="22"/>
              </w:rPr>
            </w:pPr>
            <w:r w:rsidRPr="00726F56">
              <w:rPr>
                <w:sz w:val="22"/>
                <w:szCs w:val="22"/>
              </w:rPr>
              <w:t xml:space="preserve">The </w:t>
            </w:r>
            <w:r w:rsidR="004E3F64" w:rsidRPr="00726F56">
              <w:rPr>
                <w:sz w:val="22"/>
                <w:szCs w:val="22"/>
              </w:rPr>
              <w:t>Clerk to the Corporation reported</w:t>
            </w:r>
            <w:r w:rsidRPr="00726F56">
              <w:rPr>
                <w:sz w:val="22"/>
                <w:szCs w:val="22"/>
              </w:rPr>
              <w:t xml:space="preserve"> that, although the Audit Committee action was completed, the Whistleblowing Procedure was still in discussion with the Staff Consultative Committee with a summary of comments from UCU Union still awaited. </w:t>
            </w:r>
          </w:p>
        </w:tc>
        <w:tc>
          <w:tcPr>
            <w:tcW w:w="1244" w:type="dxa"/>
          </w:tcPr>
          <w:p w:rsidR="00D5129F" w:rsidRPr="00726F56" w:rsidRDefault="00D5129F" w:rsidP="00726F56">
            <w:pPr>
              <w:pStyle w:val="NoSpacing"/>
              <w:jc w:val="both"/>
              <w:rPr>
                <w:b/>
                <w:sz w:val="22"/>
                <w:szCs w:val="22"/>
              </w:rPr>
            </w:pPr>
          </w:p>
        </w:tc>
      </w:tr>
      <w:tr w:rsidR="00D5129F" w:rsidRPr="00726F56" w:rsidTr="004562FD">
        <w:trPr>
          <w:jc w:val="center"/>
        </w:trPr>
        <w:tc>
          <w:tcPr>
            <w:tcW w:w="767" w:type="dxa"/>
          </w:tcPr>
          <w:p w:rsidR="00D5129F" w:rsidRPr="00726F56" w:rsidRDefault="00D5129F" w:rsidP="00726F56">
            <w:pPr>
              <w:jc w:val="both"/>
              <w:rPr>
                <w:b/>
                <w:sz w:val="22"/>
                <w:szCs w:val="22"/>
              </w:rPr>
            </w:pPr>
          </w:p>
        </w:tc>
        <w:tc>
          <w:tcPr>
            <w:tcW w:w="7027" w:type="dxa"/>
          </w:tcPr>
          <w:p w:rsidR="00D5129F" w:rsidRPr="00726F56" w:rsidRDefault="00D5129F" w:rsidP="00726F56">
            <w:pPr>
              <w:jc w:val="both"/>
              <w:rPr>
                <w:sz w:val="22"/>
                <w:szCs w:val="22"/>
              </w:rPr>
            </w:pPr>
          </w:p>
        </w:tc>
        <w:tc>
          <w:tcPr>
            <w:tcW w:w="1244" w:type="dxa"/>
          </w:tcPr>
          <w:p w:rsidR="00D5129F" w:rsidRPr="00726F56" w:rsidRDefault="00D5129F" w:rsidP="00726F56">
            <w:pPr>
              <w:pStyle w:val="NoSpacing"/>
              <w:jc w:val="both"/>
              <w:rPr>
                <w:b/>
                <w:sz w:val="22"/>
                <w:szCs w:val="22"/>
              </w:rPr>
            </w:pPr>
          </w:p>
        </w:tc>
      </w:tr>
      <w:tr w:rsidR="00D5129F" w:rsidRPr="00726F56" w:rsidTr="004562FD">
        <w:trPr>
          <w:jc w:val="center"/>
        </w:trPr>
        <w:tc>
          <w:tcPr>
            <w:tcW w:w="767" w:type="dxa"/>
          </w:tcPr>
          <w:p w:rsidR="00D5129F" w:rsidRPr="00726F56" w:rsidRDefault="00D5129F" w:rsidP="00726F56">
            <w:pPr>
              <w:jc w:val="both"/>
              <w:rPr>
                <w:b/>
                <w:sz w:val="22"/>
                <w:szCs w:val="22"/>
              </w:rPr>
            </w:pPr>
            <w:r w:rsidRPr="00726F56">
              <w:rPr>
                <w:b/>
                <w:sz w:val="22"/>
                <w:szCs w:val="22"/>
              </w:rPr>
              <w:t>ii)</w:t>
            </w:r>
          </w:p>
        </w:tc>
        <w:tc>
          <w:tcPr>
            <w:tcW w:w="7027" w:type="dxa"/>
          </w:tcPr>
          <w:p w:rsidR="00D5129F" w:rsidRPr="00726F56" w:rsidRDefault="00D5129F" w:rsidP="00726F56">
            <w:pPr>
              <w:jc w:val="both"/>
              <w:rPr>
                <w:sz w:val="22"/>
                <w:szCs w:val="22"/>
              </w:rPr>
            </w:pPr>
            <w:r w:rsidRPr="00726F56">
              <w:rPr>
                <w:sz w:val="22"/>
                <w:szCs w:val="22"/>
              </w:rPr>
              <w:t xml:space="preserve">The Audit Committee </w:t>
            </w:r>
            <w:r w:rsidRPr="00726F56">
              <w:rPr>
                <w:b/>
                <w:sz w:val="22"/>
                <w:szCs w:val="22"/>
              </w:rPr>
              <w:t xml:space="preserve">NOTED </w:t>
            </w:r>
            <w:r w:rsidRPr="00726F56">
              <w:rPr>
                <w:sz w:val="22"/>
                <w:szCs w:val="22"/>
              </w:rPr>
              <w:t>that the Whistleblowing Procedure was still in consultation and that further action would be reported through the Corporation.</w:t>
            </w:r>
          </w:p>
        </w:tc>
        <w:tc>
          <w:tcPr>
            <w:tcW w:w="1244" w:type="dxa"/>
          </w:tcPr>
          <w:p w:rsidR="00D5129F" w:rsidRPr="00726F56" w:rsidRDefault="00D5129F" w:rsidP="00726F56">
            <w:pPr>
              <w:pStyle w:val="NoSpacing"/>
              <w:jc w:val="both"/>
              <w:rPr>
                <w:b/>
                <w:sz w:val="22"/>
                <w:szCs w:val="22"/>
              </w:rPr>
            </w:pPr>
          </w:p>
        </w:tc>
      </w:tr>
      <w:tr w:rsidR="00D5129F" w:rsidRPr="00726F56" w:rsidTr="004562FD">
        <w:trPr>
          <w:jc w:val="center"/>
        </w:trPr>
        <w:tc>
          <w:tcPr>
            <w:tcW w:w="767" w:type="dxa"/>
          </w:tcPr>
          <w:p w:rsidR="00D5129F" w:rsidRPr="00726F56" w:rsidRDefault="00D5129F" w:rsidP="00726F56">
            <w:pPr>
              <w:jc w:val="both"/>
              <w:rPr>
                <w:b/>
                <w:sz w:val="22"/>
                <w:szCs w:val="22"/>
              </w:rPr>
            </w:pPr>
          </w:p>
        </w:tc>
        <w:tc>
          <w:tcPr>
            <w:tcW w:w="7027" w:type="dxa"/>
          </w:tcPr>
          <w:p w:rsidR="00D5129F" w:rsidRPr="00726F56" w:rsidRDefault="00D5129F" w:rsidP="00726F56">
            <w:pPr>
              <w:jc w:val="both"/>
              <w:rPr>
                <w:sz w:val="22"/>
                <w:szCs w:val="22"/>
              </w:rPr>
            </w:pPr>
          </w:p>
        </w:tc>
        <w:tc>
          <w:tcPr>
            <w:tcW w:w="1244" w:type="dxa"/>
          </w:tcPr>
          <w:p w:rsidR="00D5129F" w:rsidRPr="00726F56" w:rsidRDefault="00D5129F" w:rsidP="00726F56">
            <w:pPr>
              <w:pStyle w:val="NoSpacing"/>
              <w:jc w:val="both"/>
              <w:rPr>
                <w:b/>
                <w:sz w:val="22"/>
                <w:szCs w:val="22"/>
              </w:rPr>
            </w:pPr>
          </w:p>
        </w:tc>
      </w:tr>
      <w:tr w:rsidR="00D5129F" w:rsidRPr="00726F56" w:rsidTr="004562FD">
        <w:trPr>
          <w:jc w:val="center"/>
        </w:trPr>
        <w:tc>
          <w:tcPr>
            <w:tcW w:w="767" w:type="dxa"/>
          </w:tcPr>
          <w:p w:rsidR="00D5129F" w:rsidRPr="00726F56" w:rsidRDefault="00D5129F" w:rsidP="00726F56">
            <w:pPr>
              <w:jc w:val="both"/>
              <w:rPr>
                <w:b/>
                <w:sz w:val="22"/>
                <w:szCs w:val="22"/>
              </w:rPr>
            </w:pPr>
            <w:r w:rsidRPr="00726F56">
              <w:rPr>
                <w:b/>
                <w:sz w:val="22"/>
                <w:szCs w:val="22"/>
              </w:rPr>
              <w:t>17.18 –</w:t>
            </w:r>
          </w:p>
          <w:p w:rsidR="00D5129F" w:rsidRPr="00726F56" w:rsidRDefault="00D5129F" w:rsidP="00726F56">
            <w:pPr>
              <w:jc w:val="both"/>
              <w:rPr>
                <w:b/>
                <w:sz w:val="22"/>
                <w:szCs w:val="22"/>
              </w:rPr>
            </w:pPr>
            <w:r w:rsidRPr="00726F56">
              <w:rPr>
                <w:b/>
                <w:sz w:val="22"/>
                <w:szCs w:val="22"/>
              </w:rPr>
              <w:t>17.21</w:t>
            </w:r>
          </w:p>
        </w:tc>
        <w:tc>
          <w:tcPr>
            <w:tcW w:w="7027" w:type="dxa"/>
          </w:tcPr>
          <w:p w:rsidR="00D5129F" w:rsidRPr="00726F56" w:rsidRDefault="00D5129F" w:rsidP="00726F56">
            <w:pPr>
              <w:pStyle w:val="Heading4"/>
              <w:spacing w:before="0"/>
              <w:jc w:val="both"/>
              <w:outlineLvl w:val="3"/>
              <w:rPr>
                <w:rFonts w:ascii="Arial" w:hAnsi="Arial" w:cs="Arial"/>
                <w:i w:val="0"/>
                <w:color w:val="auto"/>
                <w:sz w:val="22"/>
                <w:szCs w:val="22"/>
              </w:rPr>
            </w:pPr>
            <w:r w:rsidRPr="00726F56">
              <w:rPr>
                <w:rFonts w:ascii="Arial" w:hAnsi="Arial" w:cs="Arial"/>
                <w:i w:val="0"/>
                <w:color w:val="auto"/>
                <w:sz w:val="22"/>
                <w:szCs w:val="22"/>
              </w:rPr>
              <w:t xml:space="preserve">CONFIDENTIAL ITEMS </w:t>
            </w:r>
          </w:p>
        </w:tc>
        <w:tc>
          <w:tcPr>
            <w:tcW w:w="1244" w:type="dxa"/>
          </w:tcPr>
          <w:p w:rsidR="00D5129F" w:rsidRPr="00726F56" w:rsidRDefault="00D5129F" w:rsidP="00726F56">
            <w:pPr>
              <w:pStyle w:val="NoSpacing"/>
              <w:jc w:val="both"/>
              <w:rPr>
                <w:b/>
                <w:sz w:val="22"/>
                <w:szCs w:val="22"/>
              </w:rPr>
            </w:pPr>
          </w:p>
        </w:tc>
      </w:tr>
      <w:tr w:rsidR="00D5129F" w:rsidRPr="00726F56" w:rsidTr="004562FD">
        <w:trPr>
          <w:jc w:val="center"/>
        </w:trPr>
        <w:tc>
          <w:tcPr>
            <w:tcW w:w="767" w:type="dxa"/>
          </w:tcPr>
          <w:p w:rsidR="00D5129F" w:rsidRPr="00726F56" w:rsidRDefault="00D5129F" w:rsidP="00726F56">
            <w:pPr>
              <w:jc w:val="both"/>
              <w:rPr>
                <w:b/>
                <w:sz w:val="22"/>
                <w:szCs w:val="22"/>
              </w:rPr>
            </w:pPr>
          </w:p>
        </w:tc>
        <w:tc>
          <w:tcPr>
            <w:tcW w:w="7027" w:type="dxa"/>
          </w:tcPr>
          <w:p w:rsidR="00D5129F" w:rsidRPr="00726F56" w:rsidRDefault="00D5129F" w:rsidP="00726F56">
            <w:pPr>
              <w:jc w:val="both"/>
              <w:rPr>
                <w:i/>
                <w:sz w:val="22"/>
                <w:szCs w:val="22"/>
              </w:rPr>
            </w:pPr>
            <w:r w:rsidRPr="00726F56">
              <w:rPr>
                <w:i/>
                <w:sz w:val="22"/>
                <w:szCs w:val="22"/>
              </w:rPr>
              <w:t>These Matters are recorded as Confidential Minutes 1 of 1.</w:t>
            </w:r>
          </w:p>
        </w:tc>
        <w:tc>
          <w:tcPr>
            <w:tcW w:w="1244" w:type="dxa"/>
          </w:tcPr>
          <w:p w:rsidR="00D5129F" w:rsidRPr="00726F56" w:rsidRDefault="00D5129F" w:rsidP="00726F56">
            <w:pPr>
              <w:pStyle w:val="NoSpacing"/>
              <w:jc w:val="both"/>
              <w:rPr>
                <w:b/>
                <w:sz w:val="22"/>
                <w:szCs w:val="22"/>
              </w:rPr>
            </w:pPr>
          </w:p>
        </w:tc>
      </w:tr>
      <w:tr w:rsidR="00D5129F" w:rsidRPr="00726F56" w:rsidTr="004562FD">
        <w:trPr>
          <w:jc w:val="center"/>
        </w:trPr>
        <w:tc>
          <w:tcPr>
            <w:tcW w:w="767" w:type="dxa"/>
          </w:tcPr>
          <w:p w:rsidR="00D5129F" w:rsidRPr="00726F56" w:rsidRDefault="00D5129F" w:rsidP="00726F56">
            <w:pPr>
              <w:jc w:val="both"/>
              <w:rPr>
                <w:b/>
                <w:sz w:val="22"/>
                <w:szCs w:val="22"/>
              </w:rPr>
            </w:pPr>
          </w:p>
        </w:tc>
        <w:tc>
          <w:tcPr>
            <w:tcW w:w="7027" w:type="dxa"/>
          </w:tcPr>
          <w:p w:rsidR="00D5129F" w:rsidRPr="00726F56" w:rsidRDefault="00D5129F" w:rsidP="00726F56">
            <w:pPr>
              <w:jc w:val="both"/>
              <w:rPr>
                <w:i/>
                <w:sz w:val="22"/>
                <w:szCs w:val="22"/>
              </w:rPr>
            </w:pPr>
          </w:p>
        </w:tc>
        <w:tc>
          <w:tcPr>
            <w:tcW w:w="1244" w:type="dxa"/>
          </w:tcPr>
          <w:p w:rsidR="00D5129F" w:rsidRPr="00726F56" w:rsidRDefault="00D5129F" w:rsidP="00726F56">
            <w:pPr>
              <w:pStyle w:val="NoSpacing"/>
              <w:jc w:val="both"/>
              <w:rPr>
                <w:b/>
                <w:sz w:val="22"/>
                <w:szCs w:val="22"/>
              </w:rPr>
            </w:pPr>
          </w:p>
        </w:tc>
      </w:tr>
      <w:tr w:rsidR="00D5129F" w:rsidRPr="00726F56" w:rsidTr="004A3DFE">
        <w:trPr>
          <w:jc w:val="center"/>
        </w:trPr>
        <w:tc>
          <w:tcPr>
            <w:tcW w:w="767" w:type="dxa"/>
          </w:tcPr>
          <w:p w:rsidR="00D5129F" w:rsidRPr="00726F56" w:rsidRDefault="00D5129F" w:rsidP="00726F56">
            <w:pPr>
              <w:jc w:val="both"/>
              <w:rPr>
                <w:b/>
                <w:sz w:val="22"/>
                <w:szCs w:val="22"/>
              </w:rPr>
            </w:pPr>
            <w:r w:rsidRPr="00726F56">
              <w:rPr>
                <w:b/>
                <w:sz w:val="22"/>
                <w:szCs w:val="22"/>
              </w:rPr>
              <w:t>17.22</w:t>
            </w:r>
          </w:p>
        </w:tc>
        <w:tc>
          <w:tcPr>
            <w:tcW w:w="7027" w:type="dxa"/>
          </w:tcPr>
          <w:p w:rsidR="00D5129F" w:rsidRPr="00726F56" w:rsidRDefault="00D5129F" w:rsidP="00726F56">
            <w:pPr>
              <w:jc w:val="both"/>
              <w:rPr>
                <w:b/>
                <w:sz w:val="22"/>
                <w:szCs w:val="22"/>
              </w:rPr>
            </w:pPr>
            <w:r w:rsidRPr="00726F56">
              <w:rPr>
                <w:b/>
                <w:sz w:val="22"/>
                <w:szCs w:val="22"/>
              </w:rPr>
              <w:t>Any Other Urgent Business</w:t>
            </w:r>
          </w:p>
        </w:tc>
        <w:tc>
          <w:tcPr>
            <w:tcW w:w="1244" w:type="dxa"/>
          </w:tcPr>
          <w:p w:rsidR="00D5129F" w:rsidRPr="00726F56" w:rsidRDefault="00D5129F" w:rsidP="00726F56">
            <w:pPr>
              <w:pStyle w:val="NoSpacing"/>
              <w:jc w:val="both"/>
              <w:rPr>
                <w:b/>
                <w:sz w:val="22"/>
                <w:szCs w:val="22"/>
              </w:rPr>
            </w:pPr>
          </w:p>
        </w:tc>
      </w:tr>
      <w:tr w:rsidR="00D5129F" w:rsidRPr="00726F56" w:rsidTr="004A3DFE">
        <w:trPr>
          <w:jc w:val="center"/>
        </w:trPr>
        <w:tc>
          <w:tcPr>
            <w:tcW w:w="767" w:type="dxa"/>
          </w:tcPr>
          <w:p w:rsidR="00D5129F" w:rsidRPr="00726F56" w:rsidRDefault="00D5129F" w:rsidP="00726F56">
            <w:pPr>
              <w:jc w:val="both"/>
              <w:rPr>
                <w:b/>
                <w:sz w:val="22"/>
                <w:szCs w:val="22"/>
              </w:rPr>
            </w:pPr>
          </w:p>
        </w:tc>
        <w:tc>
          <w:tcPr>
            <w:tcW w:w="7027" w:type="dxa"/>
          </w:tcPr>
          <w:p w:rsidR="00D5129F" w:rsidRPr="00726F56" w:rsidRDefault="00D5129F" w:rsidP="00726F56">
            <w:pPr>
              <w:jc w:val="both"/>
              <w:rPr>
                <w:sz w:val="22"/>
                <w:szCs w:val="22"/>
              </w:rPr>
            </w:pPr>
            <w:r w:rsidRPr="00726F56">
              <w:rPr>
                <w:sz w:val="22"/>
                <w:szCs w:val="22"/>
              </w:rPr>
              <w:t>There was no other urgent business.</w:t>
            </w:r>
          </w:p>
        </w:tc>
        <w:tc>
          <w:tcPr>
            <w:tcW w:w="1244" w:type="dxa"/>
          </w:tcPr>
          <w:p w:rsidR="00D5129F" w:rsidRPr="00726F56" w:rsidRDefault="00D5129F" w:rsidP="00726F56">
            <w:pPr>
              <w:pStyle w:val="NoSpacing"/>
              <w:jc w:val="both"/>
              <w:rPr>
                <w:b/>
                <w:sz w:val="22"/>
                <w:szCs w:val="22"/>
              </w:rPr>
            </w:pPr>
          </w:p>
        </w:tc>
      </w:tr>
      <w:tr w:rsidR="00D5129F" w:rsidRPr="00726F56" w:rsidTr="004A3DFE">
        <w:trPr>
          <w:jc w:val="center"/>
        </w:trPr>
        <w:tc>
          <w:tcPr>
            <w:tcW w:w="767" w:type="dxa"/>
          </w:tcPr>
          <w:p w:rsidR="00D5129F" w:rsidRPr="00726F56" w:rsidRDefault="00D5129F" w:rsidP="00726F56">
            <w:pPr>
              <w:jc w:val="both"/>
              <w:rPr>
                <w:b/>
                <w:sz w:val="22"/>
                <w:szCs w:val="22"/>
              </w:rPr>
            </w:pPr>
          </w:p>
        </w:tc>
        <w:tc>
          <w:tcPr>
            <w:tcW w:w="7027" w:type="dxa"/>
          </w:tcPr>
          <w:p w:rsidR="00D5129F" w:rsidRPr="00726F56" w:rsidRDefault="00D5129F" w:rsidP="00726F56">
            <w:pPr>
              <w:jc w:val="both"/>
              <w:rPr>
                <w:b/>
                <w:sz w:val="22"/>
                <w:szCs w:val="22"/>
              </w:rPr>
            </w:pPr>
          </w:p>
        </w:tc>
        <w:tc>
          <w:tcPr>
            <w:tcW w:w="1244" w:type="dxa"/>
          </w:tcPr>
          <w:p w:rsidR="00D5129F" w:rsidRPr="00726F56" w:rsidRDefault="00D5129F" w:rsidP="00726F56">
            <w:pPr>
              <w:pStyle w:val="NoSpacing"/>
              <w:jc w:val="both"/>
              <w:rPr>
                <w:b/>
                <w:sz w:val="22"/>
                <w:szCs w:val="22"/>
              </w:rPr>
            </w:pPr>
          </w:p>
        </w:tc>
      </w:tr>
      <w:tr w:rsidR="00D5129F" w:rsidRPr="00726F56" w:rsidTr="004A3DFE">
        <w:trPr>
          <w:jc w:val="center"/>
        </w:trPr>
        <w:tc>
          <w:tcPr>
            <w:tcW w:w="767" w:type="dxa"/>
          </w:tcPr>
          <w:p w:rsidR="00D5129F" w:rsidRPr="00726F56" w:rsidRDefault="00D5129F" w:rsidP="00726F56">
            <w:pPr>
              <w:jc w:val="both"/>
              <w:rPr>
                <w:b/>
                <w:sz w:val="22"/>
                <w:szCs w:val="22"/>
              </w:rPr>
            </w:pPr>
            <w:r w:rsidRPr="00726F56">
              <w:rPr>
                <w:b/>
                <w:sz w:val="22"/>
                <w:szCs w:val="22"/>
              </w:rPr>
              <w:t>17.23</w:t>
            </w:r>
          </w:p>
        </w:tc>
        <w:tc>
          <w:tcPr>
            <w:tcW w:w="7027" w:type="dxa"/>
          </w:tcPr>
          <w:p w:rsidR="00D5129F" w:rsidRPr="00726F56" w:rsidRDefault="00D5129F" w:rsidP="00726F56">
            <w:pPr>
              <w:jc w:val="both"/>
              <w:rPr>
                <w:b/>
                <w:sz w:val="22"/>
                <w:szCs w:val="22"/>
              </w:rPr>
            </w:pPr>
            <w:r w:rsidRPr="00726F56">
              <w:rPr>
                <w:b/>
                <w:sz w:val="22"/>
                <w:szCs w:val="22"/>
              </w:rPr>
              <w:t>Date and Time of Next Meeting</w:t>
            </w:r>
          </w:p>
        </w:tc>
        <w:tc>
          <w:tcPr>
            <w:tcW w:w="1244" w:type="dxa"/>
          </w:tcPr>
          <w:p w:rsidR="00D5129F" w:rsidRPr="00726F56" w:rsidRDefault="00D5129F" w:rsidP="00726F56">
            <w:pPr>
              <w:pStyle w:val="NoSpacing"/>
              <w:jc w:val="both"/>
              <w:rPr>
                <w:b/>
                <w:sz w:val="22"/>
                <w:szCs w:val="22"/>
              </w:rPr>
            </w:pPr>
          </w:p>
        </w:tc>
      </w:tr>
      <w:tr w:rsidR="00D5129F" w:rsidRPr="00726F56" w:rsidTr="004A3DFE">
        <w:trPr>
          <w:jc w:val="center"/>
        </w:trPr>
        <w:tc>
          <w:tcPr>
            <w:tcW w:w="767" w:type="dxa"/>
          </w:tcPr>
          <w:p w:rsidR="00D5129F" w:rsidRPr="00726F56" w:rsidRDefault="00D5129F" w:rsidP="00726F56">
            <w:pPr>
              <w:jc w:val="both"/>
              <w:rPr>
                <w:b/>
                <w:sz w:val="22"/>
                <w:szCs w:val="22"/>
              </w:rPr>
            </w:pPr>
            <w:proofErr w:type="spellStart"/>
            <w:r w:rsidRPr="00726F56">
              <w:rPr>
                <w:b/>
                <w:sz w:val="22"/>
                <w:szCs w:val="22"/>
              </w:rPr>
              <w:t>i</w:t>
            </w:r>
            <w:proofErr w:type="spellEnd"/>
            <w:r w:rsidRPr="00726F56">
              <w:rPr>
                <w:b/>
                <w:sz w:val="22"/>
                <w:szCs w:val="22"/>
              </w:rPr>
              <w:t>)</w:t>
            </w:r>
          </w:p>
        </w:tc>
        <w:tc>
          <w:tcPr>
            <w:tcW w:w="7027" w:type="dxa"/>
          </w:tcPr>
          <w:p w:rsidR="00D5129F" w:rsidRPr="00726F56" w:rsidRDefault="00D5129F" w:rsidP="00726F56">
            <w:pPr>
              <w:jc w:val="both"/>
              <w:rPr>
                <w:sz w:val="22"/>
                <w:szCs w:val="22"/>
              </w:rPr>
            </w:pPr>
            <w:r w:rsidRPr="00726F56">
              <w:rPr>
                <w:sz w:val="22"/>
                <w:szCs w:val="22"/>
              </w:rPr>
              <w:t>Tuesday 19 November 2019, 5.30pm, The Source, All Saints’ Building, Worcester</w:t>
            </w:r>
          </w:p>
        </w:tc>
        <w:tc>
          <w:tcPr>
            <w:tcW w:w="1244" w:type="dxa"/>
          </w:tcPr>
          <w:p w:rsidR="00D5129F" w:rsidRPr="00726F56" w:rsidRDefault="00D5129F" w:rsidP="00726F56">
            <w:pPr>
              <w:pStyle w:val="NoSpacing"/>
              <w:jc w:val="both"/>
              <w:rPr>
                <w:b/>
                <w:sz w:val="22"/>
                <w:szCs w:val="22"/>
              </w:rPr>
            </w:pPr>
          </w:p>
        </w:tc>
      </w:tr>
      <w:tr w:rsidR="00D5129F" w:rsidRPr="00726F56" w:rsidTr="004A3DFE">
        <w:trPr>
          <w:jc w:val="center"/>
        </w:trPr>
        <w:tc>
          <w:tcPr>
            <w:tcW w:w="767" w:type="dxa"/>
          </w:tcPr>
          <w:p w:rsidR="00D5129F" w:rsidRPr="00726F56" w:rsidRDefault="00D5129F" w:rsidP="00726F56">
            <w:pPr>
              <w:jc w:val="both"/>
              <w:rPr>
                <w:b/>
                <w:sz w:val="22"/>
                <w:szCs w:val="22"/>
              </w:rPr>
            </w:pPr>
          </w:p>
        </w:tc>
        <w:tc>
          <w:tcPr>
            <w:tcW w:w="7027" w:type="dxa"/>
          </w:tcPr>
          <w:p w:rsidR="00D5129F" w:rsidRPr="00726F56" w:rsidRDefault="00D5129F" w:rsidP="00726F56">
            <w:pPr>
              <w:jc w:val="both"/>
              <w:rPr>
                <w:sz w:val="22"/>
                <w:szCs w:val="22"/>
              </w:rPr>
            </w:pPr>
          </w:p>
        </w:tc>
        <w:tc>
          <w:tcPr>
            <w:tcW w:w="1244" w:type="dxa"/>
          </w:tcPr>
          <w:p w:rsidR="00D5129F" w:rsidRPr="00726F56" w:rsidRDefault="00D5129F" w:rsidP="00726F56">
            <w:pPr>
              <w:pStyle w:val="NoSpacing"/>
              <w:jc w:val="both"/>
              <w:rPr>
                <w:b/>
                <w:sz w:val="22"/>
                <w:szCs w:val="22"/>
              </w:rPr>
            </w:pPr>
          </w:p>
        </w:tc>
      </w:tr>
      <w:tr w:rsidR="00D5129F" w:rsidRPr="00726F56" w:rsidTr="004A3DFE">
        <w:trPr>
          <w:jc w:val="center"/>
        </w:trPr>
        <w:tc>
          <w:tcPr>
            <w:tcW w:w="767" w:type="dxa"/>
          </w:tcPr>
          <w:p w:rsidR="00D5129F" w:rsidRPr="00726F56" w:rsidRDefault="00D5129F" w:rsidP="00726F56">
            <w:pPr>
              <w:jc w:val="both"/>
              <w:rPr>
                <w:b/>
                <w:sz w:val="22"/>
                <w:szCs w:val="22"/>
              </w:rPr>
            </w:pPr>
            <w:r w:rsidRPr="00726F56">
              <w:rPr>
                <w:b/>
                <w:sz w:val="22"/>
                <w:szCs w:val="22"/>
              </w:rPr>
              <w:t>17.24</w:t>
            </w:r>
          </w:p>
        </w:tc>
        <w:tc>
          <w:tcPr>
            <w:tcW w:w="7027" w:type="dxa"/>
          </w:tcPr>
          <w:p w:rsidR="00D5129F" w:rsidRPr="00726F56" w:rsidRDefault="00D5129F" w:rsidP="00726F56">
            <w:pPr>
              <w:pStyle w:val="Heading4"/>
              <w:spacing w:before="0"/>
              <w:jc w:val="both"/>
              <w:outlineLvl w:val="3"/>
              <w:rPr>
                <w:rFonts w:ascii="Arial" w:hAnsi="Arial" w:cs="Arial"/>
                <w:i w:val="0"/>
                <w:color w:val="auto"/>
                <w:sz w:val="22"/>
                <w:szCs w:val="22"/>
              </w:rPr>
            </w:pPr>
            <w:r w:rsidRPr="00726F56">
              <w:rPr>
                <w:rFonts w:ascii="Arial" w:hAnsi="Arial" w:cs="Arial"/>
                <w:i w:val="0"/>
                <w:color w:val="auto"/>
                <w:sz w:val="22"/>
                <w:szCs w:val="22"/>
              </w:rPr>
              <w:t>Audit Committee Self Assessment</w:t>
            </w:r>
          </w:p>
        </w:tc>
        <w:tc>
          <w:tcPr>
            <w:tcW w:w="1244" w:type="dxa"/>
          </w:tcPr>
          <w:p w:rsidR="00D5129F" w:rsidRPr="00726F56" w:rsidRDefault="00D5129F" w:rsidP="00726F56">
            <w:pPr>
              <w:pStyle w:val="NoSpacing"/>
              <w:jc w:val="both"/>
              <w:rPr>
                <w:b/>
                <w:sz w:val="22"/>
                <w:szCs w:val="22"/>
              </w:rPr>
            </w:pPr>
          </w:p>
        </w:tc>
      </w:tr>
      <w:tr w:rsidR="00D5129F" w:rsidRPr="00726F56" w:rsidTr="004A3DFE">
        <w:trPr>
          <w:jc w:val="center"/>
        </w:trPr>
        <w:tc>
          <w:tcPr>
            <w:tcW w:w="767" w:type="dxa"/>
          </w:tcPr>
          <w:p w:rsidR="00D5129F" w:rsidRPr="00726F56" w:rsidRDefault="00D5129F" w:rsidP="00726F56">
            <w:pPr>
              <w:jc w:val="both"/>
              <w:rPr>
                <w:b/>
                <w:sz w:val="22"/>
                <w:szCs w:val="22"/>
              </w:rPr>
            </w:pPr>
            <w:proofErr w:type="spellStart"/>
            <w:r w:rsidRPr="00726F56">
              <w:rPr>
                <w:b/>
                <w:sz w:val="22"/>
                <w:szCs w:val="22"/>
              </w:rPr>
              <w:t>i</w:t>
            </w:r>
            <w:proofErr w:type="spellEnd"/>
            <w:r w:rsidRPr="00726F56">
              <w:rPr>
                <w:b/>
                <w:sz w:val="22"/>
                <w:szCs w:val="22"/>
              </w:rPr>
              <w:t>)</w:t>
            </w:r>
          </w:p>
        </w:tc>
        <w:tc>
          <w:tcPr>
            <w:tcW w:w="7027" w:type="dxa"/>
          </w:tcPr>
          <w:p w:rsidR="00D5129F" w:rsidRPr="00726F56" w:rsidRDefault="004E3F64" w:rsidP="00726F56">
            <w:pPr>
              <w:jc w:val="both"/>
              <w:rPr>
                <w:sz w:val="22"/>
                <w:szCs w:val="22"/>
              </w:rPr>
            </w:pPr>
            <w:r w:rsidRPr="00726F56">
              <w:rPr>
                <w:sz w:val="22"/>
                <w:szCs w:val="22"/>
              </w:rPr>
              <w:t xml:space="preserve">The Clerk to the </w:t>
            </w:r>
            <w:r w:rsidR="009D7B5D" w:rsidRPr="00726F56">
              <w:rPr>
                <w:sz w:val="22"/>
                <w:szCs w:val="22"/>
              </w:rPr>
              <w:t>Corporation reminded</w:t>
            </w:r>
            <w:r w:rsidRPr="00726F56">
              <w:rPr>
                <w:sz w:val="22"/>
                <w:szCs w:val="22"/>
              </w:rPr>
              <w:t xml:space="preserve"> Members that the Audit Committee self assessed performance each year </w:t>
            </w:r>
            <w:r w:rsidR="009D7B5D" w:rsidRPr="00726F56">
              <w:rPr>
                <w:sz w:val="22"/>
                <w:szCs w:val="22"/>
              </w:rPr>
              <w:t>and had</w:t>
            </w:r>
            <w:r w:rsidRPr="00726F56">
              <w:rPr>
                <w:sz w:val="22"/>
                <w:szCs w:val="22"/>
              </w:rPr>
              <w:t xml:space="preserve"> approved the continued use of the previous checklist, the Audit Committee Effectiveness Aide-Memoire. This was normally issued over the summer but required a lot of chasing so it was being issued at the conclusion of the annual cycle.</w:t>
            </w:r>
          </w:p>
        </w:tc>
        <w:tc>
          <w:tcPr>
            <w:tcW w:w="1244" w:type="dxa"/>
          </w:tcPr>
          <w:p w:rsidR="00D5129F" w:rsidRPr="00726F56" w:rsidRDefault="00D5129F" w:rsidP="00726F56">
            <w:pPr>
              <w:pStyle w:val="NoSpacing"/>
              <w:jc w:val="both"/>
              <w:rPr>
                <w:b/>
                <w:sz w:val="22"/>
                <w:szCs w:val="22"/>
              </w:rPr>
            </w:pPr>
          </w:p>
        </w:tc>
      </w:tr>
      <w:tr w:rsidR="00D5129F" w:rsidRPr="00726F56" w:rsidTr="004A3DFE">
        <w:trPr>
          <w:jc w:val="center"/>
        </w:trPr>
        <w:tc>
          <w:tcPr>
            <w:tcW w:w="767" w:type="dxa"/>
          </w:tcPr>
          <w:p w:rsidR="00D5129F" w:rsidRPr="00726F56" w:rsidRDefault="00D5129F" w:rsidP="00726F56">
            <w:pPr>
              <w:jc w:val="both"/>
              <w:rPr>
                <w:b/>
                <w:sz w:val="22"/>
                <w:szCs w:val="22"/>
              </w:rPr>
            </w:pPr>
          </w:p>
        </w:tc>
        <w:tc>
          <w:tcPr>
            <w:tcW w:w="7027" w:type="dxa"/>
          </w:tcPr>
          <w:p w:rsidR="00D5129F" w:rsidRPr="00726F56" w:rsidRDefault="00D5129F" w:rsidP="00726F56">
            <w:pPr>
              <w:jc w:val="both"/>
              <w:rPr>
                <w:sz w:val="22"/>
                <w:szCs w:val="22"/>
              </w:rPr>
            </w:pPr>
          </w:p>
        </w:tc>
        <w:tc>
          <w:tcPr>
            <w:tcW w:w="1244" w:type="dxa"/>
          </w:tcPr>
          <w:p w:rsidR="00D5129F" w:rsidRPr="00726F56" w:rsidRDefault="00D5129F" w:rsidP="00726F56">
            <w:pPr>
              <w:pStyle w:val="NoSpacing"/>
              <w:jc w:val="both"/>
              <w:rPr>
                <w:b/>
                <w:sz w:val="22"/>
                <w:szCs w:val="22"/>
              </w:rPr>
            </w:pPr>
          </w:p>
        </w:tc>
      </w:tr>
      <w:tr w:rsidR="00D5129F" w:rsidRPr="00726F56" w:rsidTr="004A3DFE">
        <w:trPr>
          <w:jc w:val="center"/>
        </w:trPr>
        <w:tc>
          <w:tcPr>
            <w:tcW w:w="767" w:type="dxa"/>
          </w:tcPr>
          <w:p w:rsidR="00D5129F" w:rsidRPr="00726F56" w:rsidRDefault="004E3F64" w:rsidP="00726F56">
            <w:pPr>
              <w:jc w:val="both"/>
              <w:rPr>
                <w:b/>
                <w:sz w:val="22"/>
                <w:szCs w:val="22"/>
              </w:rPr>
            </w:pPr>
            <w:r w:rsidRPr="00726F56">
              <w:rPr>
                <w:b/>
                <w:sz w:val="22"/>
                <w:szCs w:val="22"/>
              </w:rPr>
              <w:t>ii)</w:t>
            </w:r>
          </w:p>
        </w:tc>
        <w:tc>
          <w:tcPr>
            <w:tcW w:w="7027" w:type="dxa"/>
          </w:tcPr>
          <w:p w:rsidR="00D5129F" w:rsidRPr="00726F56" w:rsidRDefault="00D5129F" w:rsidP="00726F56">
            <w:pPr>
              <w:jc w:val="both"/>
              <w:rPr>
                <w:sz w:val="22"/>
                <w:szCs w:val="22"/>
              </w:rPr>
            </w:pPr>
            <w:r w:rsidRPr="00726F56">
              <w:rPr>
                <w:sz w:val="22"/>
                <w:szCs w:val="22"/>
              </w:rPr>
              <w:t xml:space="preserve">The Audit Committee </w:t>
            </w:r>
            <w:r w:rsidR="004E3F64" w:rsidRPr="00726F56">
              <w:rPr>
                <w:b/>
                <w:sz w:val="22"/>
                <w:szCs w:val="22"/>
              </w:rPr>
              <w:t xml:space="preserve">AGREED </w:t>
            </w:r>
            <w:r w:rsidR="004E3F64" w:rsidRPr="00726F56">
              <w:rPr>
                <w:sz w:val="22"/>
                <w:szCs w:val="22"/>
              </w:rPr>
              <w:t xml:space="preserve">to complete and return the </w:t>
            </w:r>
            <w:r w:rsidRPr="00726F56">
              <w:rPr>
                <w:sz w:val="22"/>
                <w:szCs w:val="22"/>
              </w:rPr>
              <w:t>self-assessment of performance in 2018/19</w:t>
            </w:r>
            <w:r w:rsidR="004E3F64" w:rsidRPr="00726F56">
              <w:rPr>
                <w:sz w:val="22"/>
                <w:szCs w:val="22"/>
              </w:rPr>
              <w:t xml:space="preserve"> to the Clerk to the Corporation </w:t>
            </w:r>
            <w:r w:rsidR="009D7B5D">
              <w:rPr>
                <w:sz w:val="22"/>
                <w:szCs w:val="22"/>
              </w:rPr>
              <w:t xml:space="preserve">by </w:t>
            </w:r>
            <w:r w:rsidR="004E3F64" w:rsidRPr="00726F56">
              <w:rPr>
                <w:sz w:val="22"/>
                <w:szCs w:val="22"/>
              </w:rPr>
              <w:t xml:space="preserve">16 July </w:t>
            </w:r>
            <w:r w:rsidR="009D7B5D" w:rsidRPr="00726F56">
              <w:rPr>
                <w:sz w:val="22"/>
                <w:szCs w:val="22"/>
              </w:rPr>
              <w:t>2019.</w:t>
            </w:r>
          </w:p>
        </w:tc>
        <w:tc>
          <w:tcPr>
            <w:tcW w:w="1244" w:type="dxa"/>
          </w:tcPr>
          <w:p w:rsidR="004E3F64" w:rsidRPr="00726F56" w:rsidRDefault="00AB4330" w:rsidP="00726F56">
            <w:pPr>
              <w:pStyle w:val="NoSpacing"/>
              <w:jc w:val="both"/>
              <w:rPr>
                <w:b/>
                <w:sz w:val="22"/>
                <w:szCs w:val="22"/>
              </w:rPr>
            </w:pPr>
            <w:r w:rsidRPr="00726F56">
              <w:rPr>
                <w:b/>
                <w:sz w:val="22"/>
                <w:szCs w:val="22"/>
              </w:rPr>
              <w:t>Members</w:t>
            </w:r>
            <w:r>
              <w:rPr>
                <w:b/>
                <w:sz w:val="22"/>
                <w:szCs w:val="22"/>
              </w:rPr>
              <w:t>/</w:t>
            </w:r>
          </w:p>
          <w:p w:rsidR="004E3F64" w:rsidRPr="00726F56" w:rsidRDefault="00AB4330" w:rsidP="00726F56">
            <w:pPr>
              <w:pStyle w:val="NoSpacing"/>
              <w:jc w:val="both"/>
              <w:rPr>
                <w:b/>
                <w:sz w:val="22"/>
                <w:szCs w:val="22"/>
              </w:rPr>
            </w:pPr>
            <w:r>
              <w:rPr>
                <w:b/>
                <w:sz w:val="22"/>
                <w:szCs w:val="22"/>
              </w:rPr>
              <w:t>CC</w:t>
            </w:r>
          </w:p>
          <w:p w:rsidR="00D5129F" w:rsidRPr="00726F56" w:rsidRDefault="00D5129F" w:rsidP="00726F56">
            <w:pPr>
              <w:pStyle w:val="NoSpacing"/>
              <w:jc w:val="both"/>
              <w:rPr>
                <w:b/>
                <w:sz w:val="22"/>
                <w:szCs w:val="22"/>
              </w:rPr>
            </w:pPr>
          </w:p>
        </w:tc>
      </w:tr>
      <w:tr w:rsidR="00D5129F" w:rsidRPr="00726F56" w:rsidTr="004A3DFE">
        <w:trPr>
          <w:jc w:val="center"/>
        </w:trPr>
        <w:tc>
          <w:tcPr>
            <w:tcW w:w="767" w:type="dxa"/>
          </w:tcPr>
          <w:p w:rsidR="00D5129F" w:rsidRPr="00726F56" w:rsidRDefault="00D5129F" w:rsidP="00726F56">
            <w:pPr>
              <w:jc w:val="both"/>
              <w:rPr>
                <w:b/>
                <w:sz w:val="22"/>
                <w:szCs w:val="22"/>
              </w:rPr>
            </w:pPr>
          </w:p>
        </w:tc>
        <w:tc>
          <w:tcPr>
            <w:tcW w:w="7027" w:type="dxa"/>
          </w:tcPr>
          <w:p w:rsidR="00D5129F" w:rsidRPr="00726F56" w:rsidRDefault="00D5129F" w:rsidP="00726F56">
            <w:pPr>
              <w:jc w:val="both"/>
              <w:rPr>
                <w:sz w:val="22"/>
                <w:szCs w:val="22"/>
              </w:rPr>
            </w:pPr>
          </w:p>
        </w:tc>
        <w:tc>
          <w:tcPr>
            <w:tcW w:w="1244" w:type="dxa"/>
          </w:tcPr>
          <w:p w:rsidR="00D5129F" w:rsidRPr="00726F56" w:rsidRDefault="00D5129F" w:rsidP="00726F56">
            <w:pPr>
              <w:pStyle w:val="NoSpacing"/>
              <w:jc w:val="both"/>
              <w:rPr>
                <w:b/>
                <w:sz w:val="22"/>
                <w:szCs w:val="22"/>
              </w:rPr>
            </w:pPr>
          </w:p>
        </w:tc>
      </w:tr>
      <w:tr w:rsidR="00D5129F" w:rsidRPr="00726F56" w:rsidTr="004A3DFE">
        <w:trPr>
          <w:jc w:val="center"/>
        </w:trPr>
        <w:tc>
          <w:tcPr>
            <w:tcW w:w="767" w:type="dxa"/>
          </w:tcPr>
          <w:p w:rsidR="00D5129F" w:rsidRPr="00726F56" w:rsidRDefault="00D5129F" w:rsidP="00726F56">
            <w:pPr>
              <w:jc w:val="both"/>
              <w:rPr>
                <w:b/>
                <w:sz w:val="22"/>
                <w:szCs w:val="22"/>
              </w:rPr>
            </w:pPr>
            <w:r w:rsidRPr="00726F56">
              <w:rPr>
                <w:sz w:val="22"/>
                <w:szCs w:val="22"/>
              </w:rPr>
              <w:t xml:space="preserve"> </w:t>
            </w:r>
            <w:r w:rsidRPr="00726F56">
              <w:rPr>
                <w:sz w:val="22"/>
                <w:szCs w:val="22"/>
                <w:lang w:eastAsia="en-US"/>
              </w:rPr>
              <w:br w:type="page"/>
            </w:r>
          </w:p>
        </w:tc>
        <w:tc>
          <w:tcPr>
            <w:tcW w:w="7027" w:type="dxa"/>
          </w:tcPr>
          <w:p w:rsidR="00D5129F" w:rsidRPr="00726F56" w:rsidRDefault="00D5129F" w:rsidP="00726F56">
            <w:pPr>
              <w:jc w:val="both"/>
              <w:rPr>
                <w:sz w:val="22"/>
                <w:szCs w:val="22"/>
              </w:rPr>
            </w:pPr>
          </w:p>
        </w:tc>
        <w:tc>
          <w:tcPr>
            <w:tcW w:w="1244" w:type="dxa"/>
          </w:tcPr>
          <w:p w:rsidR="00D5129F" w:rsidRPr="00726F56" w:rsidRDefault="00D5129F" w:rsidP="00726F56">
            <w:pPr>
              <w:pStyle w:val="NoSpacing"/>
              <w:jc w:val="both"/>
              <w:rPr>
                <w:b/>
                <w:sz w:val="22"/>
                <w:szCs w:val="22"/>
              </w:rPr>
            </w:pPr>
          </w:p>
        </w:tc>
      </w:tr>
      <w:tr w:rsidR="00D5129F" w:rsidRPr="00726F56" w:rsidTr="004A3DFE">
        <w:trPr>
          <w:jc w:val="center"/>
        </w:trPr>
        <w:tc>
          <w:tcPr>
            <w:tcW w:w="767" w:type="dxa"/>
          </w:tcPr>
          <w:p w:rsidR="00D5129F" w:rsidRPr="00726F56" w:rsidRDefault="00D5129F" w:rsidP="00726F56">
            <w:pPr>
              <w:jc w:val="both"/>
              <w:rPr>
                <w:b/>
                <w:sz w:val="22"/>
                <w:szCs w:val="22"/>
              </w:rPr>
            </w:pPr>
          </w:p>
        </w:tc>
        <w:tc>
          <w:tcPr>
            <w:tcW w:w="7027" w:type="dxa"/>
          </w:tcPr>
          <w:p w:rsidR="00D5129F" w:rsidRPr="00726F56" w:rsidRDefault="00D5129F" w:rsidP="00726F56">
            <w:pPr>
              <w:jc w:val="both"/>
              <w:rPr>
                <w:color w:val="FF0000"/>
                <w:sz w:val="22"/>
                <w:szCs w:val="22"/>
                <w:highlight w:val="yellow"/>
              </w:rPr>
            </w:pPr>
            <w:r w:rsidRPr="00D8072C">
              <w:rPr>
                <w:sz w:val="22"/>
                <w:szCs w:val="22"/>
              </w:rPr>
              <w:t xml:space="preserve">The meeting closed at </w:t>
            </w:r>
            <w:r w:rsidR="00D8072C">
              <w:rPr>
                <w:sz w:val="22"/>
                <w:szCs w:val="22"/>
              </w:rPr>
              <w:t>7.40pm.</w:t>
            </w:r>
          </w:p>
        </w:tc>
        <w:tc>
          <w:tcPr>
            <w:tcW w:w="1244" w:type="dxa"/>
          </w:tcPr>
          <w:p w:rsidR="00D5129F" w:rsidRPr="00726F56" w:rsidRDefault="00D5129F" w:rsidP="00726F56">
            <w:pPr>
              <w:pStyle w:val="NoSpacing"/>
              <w:jc w:val="both"/>
              <w:rPr>
                <w:b/>
                <w:sz w:val="22"/>
                <w:szCs w:val="22"/>
              </w:rPr>
            </w:pPr>
          </w:p>
        </w:tc>
      </w:tr>
      <w:tr w:rsidR="00D5129F" w:rsidRPr="00726F56" w:rsidTr="004A3DFE">
        <w:trPr>
          <w:jc w:val="center"/>
        </w:trPr>
        <w:tc>
          <w:tcPr>
            <w:tcW w:w="767" w:type="dxa"/>
          </w:tcPr>
          <w:p w:rsidR="00D5129F" w:rsidRPr="00726F56" w:rsidRDefault="00D5129F" w:rsidP="00726F56">
            <w:pPr>
              <w:jc w:val="both"/>
              <w:rPr>
                <w:b/>
                <w:sz w:val="22"/>
                <w:szCs w:val="22"/>
              </w:rPr>
            </w:pPr>
          </w:p>
        </w:tc>
        <w:tc>
          <w:tcPr>
            <w:tcW w:w="7027" w:type="dxa"/>
          </w:tcPr>
          <w:p w:rsidR="00D5129F" w:rsidRPr="00726F56" w:rsidRDefault="00D5129F" w:rsidP="00726F56">
            <w:pPr>
              <w:jc w:val="both"/>
              <w:rPr>
                <w:color w:val="FF0000"/>
                <w:sz w:val="22"/>
                <w:szCs w:val="22"/>
              </w:rPr>
            </w:pPr>
          </w:p>
        </w:tc>
        <w:tc>
          <w:tcPr>
            <w:tcW w:w="1244" w:type="dxa"/>
          </w:tcPr>
          <w:p w:rsidR="00D5129F" w:rsidRPr="00726F56" w:rsidRDefault="00D5129F" w:rsidP="00726F56">
            <w:pPr>
              <w:pStyle w:val="NoSpacing"/>
              <w:jc w:val="both"/>
              <w:rPr>
                <w:b/>
                <w:sz w:val="22"/>
                <w:szCs w:val="22"/>
              </w:rPr>
            </w:pPr>
          </w:p>
        </w:tc>
      </w:tr>
      <w:tr w:rsidR="00D5129F" w:rsidRPr="00726F56" w:rsidTr="004A3DFE">
        <w:trPr>
          <w:jc w:val="center"/>
        </w:trPr>
        <w:tc>
          <w:tcPr>
            <w:tcW w:w="767" w:type="dxa"/>
          </w:tcPr>
          <w:p w:rsidR="00D5129F" w:rsidRPr="00726F56" w:rsidRDefault="00D5129F" w:rsidP="00726F56">
            <w:pPr>
              <w:jc w:val="both"/>
              <w:rPr>
                <w:b/>
                <w:sz w:val="22"/>
                <w:szCs w:val="22"/>
              </w:rPr>
            </w:pPr>
          </w:p>
        </w:tc>
        <w:tc>
          <w:tcPr>
            <w:tcW w:w="7027" w:type="dxa"/>
          </w:tcPr>
          <w:p w:rsidR="00D5129F" w:rsidRPr="00726F56" w:rsidRDefault="00D5129F" w:rsidP="00726F56">
            <w:pPr>
              <w:jc w:val="both"/>
              <w:rPr>
                <w:color w:val="FF0000"/>
                <w:sz w:val="22"/>
                <w:szCs w:val="22"/>
              </w:rPr>
            </w:pPr>
          </w:p>
        </w:tc>
        <w:tc>
          <w:tcPr>
            <w:tcW w:w="1244" w:type="dxa"/>
          </w:tcPr>
          <w:p w:rsidR="00D5129F" w:rsidRPr="00726F56" w:rsidRDefault="00D5129F" w:rsidP="00726F56">
            <w:pPr>
              <w:pStyle w:val="NoSpacing"/>
              <w:jc w:val="both"/>
              <w:rPr>
                <w:b/>
                <w:sz w:val="22"/>
                <w:szCs w:val="22"/>
              </w:rPr>
            </w:pPr>
          </w:p>
        </w:tc>
      </w:tr>
      <w:tr w:rsidR="00D5129F" w:rsidRPr="00726F56" w:rsidTr="004A3DFE">
        <w:trPr>
          <w:jc w:val="center"/>
        </w:trPr>
        <w:tc>
          <w:tcPr>
            <w:tcW w:w="767" w:type="dxa"/>
          </w:tcPr>
          <w:p w:rsidR="00D5129F" w:rsidRPr="00726F56" w:rsidRDefault="00D5129F" w:rsidP="00726F56">
            <w:pPr>
              <w:jc w:val="both"/>
              <w:rPr>
                <w:b/>
                <w:sz w:val="22"/>
                <w:szCs w:val="22"/>
              </w:rPr>
            </w:pPr>
          </w:p>
        </w:tc>
        <w:tc>
          <w:tcPr>
            <w:tcW w:w="7027" w:type="dxa"/>
          </w:tcPr>
          <w:p w:rsidR="00D5129F" w:rsidRPr="00726F56" w:rsidRDefault="00D5129F" w:rsidP="00726F56">
            <w:pPr>
              <w:autoSpaceDE w:val="0"/>
              <w:autoSpaceDN w:val="0"/>
              <w:adjustRightInd w:val="0"/>
              <w:jc w:val="both"/>
              <w:rPr>
                <w:sz w:val="22"/>
                <w:szCs w:val="22"/>
              </w:rPr>
            </w:pPr>
            <w:r w:rsidRPr="00726F56">
              <w:rPr>
                <w:b/>
                <w:sz w:val="22"/>
                <w:szCs w:val="22"/>
              </w:rPr>
              <w:t>Signed:</w:t>
            </w:r>
          </w:p>
        </w:tc>
        <w:tc>
          <w:tcPr>
            <w:tcW w:w="1244" w:type="dxa"/>
          </w:tcPr>
          <w:p w:rsidR="00D5129F" w:rsidRPr="00726F56" w:rsidRDefault="00D5129F" w:rsidP="00726F56">
            <w:pPr>
              <w:pStyle w:val="NoSpacing"/>
              <w:jc w:val="both"/>
              <w:rPr>
                <w:b/>
                <w:sz w:val="22"/>
                <w:szCs w:val="22"/>
              </w:rPr>
            </w:pPr>
          </w:p>
        </w:tc>
      </w:tr>
      <w:tr w:rsidR="00D5129F" w:rsidRPr="00726F56" w:rsidTr="004A3DFE">
        <w:trPr>
          <w:jc w:val="center"/>
        </w:trPr>
        <w:tc>
          <w:tcPr>
            <w:tcW w:w="767" w:type="dxa"/>
          </w:tcPr>
          <w:p w:rsidR="00D5129F" w:rsidRPr="00726F56" w:rsidRDefault="00D5129F" w:rsidP="00726F56">
            <w:pPr>
              <w:jc w:val="both"/>
              <w:rPr>
                <w:b/>
                <w:sz w:val="22"/>
                <w:szCs w:val="22"/>
              </w:rPr>
            </w:pPr>
          </w:p>
        </w:tc>
        <w:tc>
          <w:tcPr>
            <w:tcW w:w="7027" w:type="dxa"/>
          </w:tcPr>
          <w:p w:rsidR="00D5129F" w:rsidRPr="00726F56" w:rsidRDefault="00D5129F" w:rsidP="00726F56">
            <w:pPr>
              <w:autoSpaceDE w:val="0"/>
              <w:autoSpaceDN w:val="0"/>
              <w:adjustRightInd w:val="0"/>
              <w:jc w:val="both"/>
              <w:rPr>
                <w:b/>
                <w:sz w:val="22"/>
                <w:szCs w:val="22"/>
              </w:rPr>
            </w:pPr>
          </w:p>
          <w:p w:rsidR="00D5129F" w:rsidRPr="00726F56" w:rsidRDefault="00D5129F" w:rsidP="00726F56">
            <w:pPr>
              <w:autoSpaceDE w:val="0"/>
              <w:autoSpaceDN w:val="0"/>
              <w:adjustRightInd w:val="0"/>
              <w:jc w:val="both"/>
              <w:rPr>
                <w:sz w:val="22"/>
                <w:szCs w:val="22"/>
              </w:rPr>
            </w:pPr>
          </w:p>
        </w:tc>
        <w:tc>
          <w:tcPr>
            <w:tcW w:w="1244" w:type="dxa"/>
          </w:tcPr>
          <w:p w:rsidR="00D5129F" w:rsidRPr="00726F56" w:rsidRDefault="00D5129F" w:rsidP="00726F56">
            <w:pPr>
              <w:pStyle w:val="NoSpacing"/>
              <w:jc w:val="both"/>
              <w:rPr>
                <w:b/>
                <w:sz w:val="22"/>
                <w:szCs w:val="22"/>
              </w:rPr>
            </w:pPr>
          </w:p>
        </w:tc>
      </w:tr>
      <w:tr w:rsidR="00D5129F" w:rsidRPr="00726F56" w:rsidTr="004A3DFE">
        <w:trPr>
          <w:jc w:val="center"/>
        </w:trPr>
        <w:tc>
          <w:tcPr>
            <w:tcW w:w="767" w:type="dxa"/>
          </w:tcPr>
          <w:p w:rsidR="00D5129F" w:rsidRPr="00726F56" w:rsidRDefault="00D5129F" w:rsidP="00726F56">
            <w:pPr>
              <w:jc w:val="both"/>
              <w:rPr>
                <w:b/>
                <w:sz w:val="22"/>
                <w:szCs w:val="22"/>
              </w:rPr>
            </w:pPr>
          </w:p>
        </w:tc>
        <w:tc>
          <w:tcPr>
            <w:tcW w:w="7027" w:type="dxa"/>
          </w:tcPr>
          <w:p w:rsidR="00D5129F" w:rsidRPr="00726F56" w:rsidRDefault="00D5129F" w:rsidP="00726F56">
            <w:pPr>
              <w:autoSpaceDE w:val="0"/>
              <w:autoSpaceDN w:val="0"/>
              <w:adjustRightInd w:val="0"/>
              <w:jc w:val="both"/>
              <w:rPr>
                <w:b/>
                <w:sz w:val="22"/>
                <w:szCs w:val="22"/>
              </w:rPr>
            </w:pPr>
            <w:r w:rsidRPr="00726F56">
              <w:rPr>
                <w:b/>
                <w:sz w:val="22"/>
                <w:szCs w:val="22"/>
              </w:rPr>
              <w:t>Date:</w:t>
            </w:r>
          </w:p>
        </w:tc>
        <w:tc>
          <w:tcPr>
            <w:tcW w:w="1244" w:type="dxa"/>
          </w:tcPr>
          <w:p w:rsidR="00D5129F" w:rsidRPr="00726F56" w:rsidRDefault="00D5129F" w:rsidP="00726F56">
            <w:pPr>
              <w:pStyle w:val="NoSpacing"/>
              <w:jc w:val="both"/>
              <w:rPr>
                <w:b/>
                <w:sz w:val="22"/>
                <w:szCs w:val="22"/>
              </w:rPr>
            </w:pPr>
          </w:p>
        </w:tc>
      </w:tr>
      <w:tr w:rsidR="00D5129F" w:rsidRPr="00726F56" w:rsidTr="004A3DFE">
        <w:trPr>
          <w:jc w:val="center"/>
        </w:trPr>
        <w:tc>
          <w:tcPr>
            <w:tcW w:w="767" w:type="dxa"/>
          </w:tcPr>
          <w:p w:rsidR="00D5129F" w:rsidRPr="00726F56" w:rsidRDefault="00D5129F" w:rsidP="00726F56">
            <w:pPr>
              <w:jc w:val="both"/>
              <w:rPr>
                <w:b/>
                <w:sz w:val="22"/>
                <w:szCs w:val="22"/>
              </w:rPr>
            </w:pPr>
          </w:p>
        </w:tc>
        <w:tc>
          <w:tcPr>
            <w:tcW w:w="7027" w:type="dxa"/>
          </w:tcPr>
          <w:p w:rsidR="00D5129F" w:rsidRPr="00726F56" w:rsidRDefault="00D5129F" w:rsidP="00726F56">
            <w:pPr>
              <w:autoSpaceDE w:val="0"/>
              <w:autoSpaceDN w:val="0"/>
              <w:adjustRightInd w:val="0"/>
              <w:jc w:val="both"/>
              <w:rPr>
                <w:b/>
                <w:sz w:val="22"/>
                <w:szCs w:val="22"/>
              </w:rPr>
            </w:pPr>
          </w:p>
        </w:tc>
        <w:tc>
          <w:tcPr>
            <w:tcW w:w="1244" w:type="dxa"/>
          </w:tcPr>
          <w:p w:rsidR="00D5129F" w:rsidRPr="00726F56" w:rsidRDefault="00D5129F" w:rsidP="00726F56">
            <w:pPr>
              <w:pStyle w:val="NoSpacing"/>
              <w:jc w:val="both"/>
              <w:rPr>
                <w:b/>
                <w:sz w:val="22"/>
                <w:szCs w:val="22"/>
              </w:rPr>
            </w:pPr>
          </w:p>
        </w:tc>
      </w:tr>
    </w:tbl>
    <w:p w:rsidR="00B26705" w:rsidRPr="00726F56" w:rsidRDefault="00B26705" w:rsidP="00726F56">
      <w:pPr>
        <w:pStyle w:val="NoSpacing"/>
        <w:jc w:val="both"/>
        <w:rPr>
          <w:sz w:val="22"/>
          <w:szCs w:val="22"/>
          <w:u w:val="single"/>
          <w:lang w:eastAsia="en-GB"/>
        </w:rPr>
      </w:pPr>
    </w:p>
    <w:p w:rsidR="00B26705" w:rsidRPr="00726F56" w:rsidRDefault="00B26705" w:rsidP="00726F56">
      <w:pPr>
        <w:pStyle w:val="NoSpacing"/>
        <w:jc w:val="both"/>
        <w:rPr>
          <w:sz w:val="22"/>
          <w:szCs w:val="22"/>
          <w:u w:val="single"/>
          <w:lang w:eastAsia="en-GB"/>
        </w:rPr>
      </w:pPr>
      <w:r w:rsidRPr="00726F56">
        <w:rPr>
          <w:sz w:val="22"/>
          <w:szCs w:val="22"/>
          <w:u w:val="single"/>
          <w:lang w:eastAsia="en-GB"/>
        </w:rPr>
        <w:t>Sue Frost</w:t>
      </w:r>
    </w:p>
    <w:p w:rsidR="00B26705" w:rsidRPr="00726F56" w:rsidRDefault="00B26705" w:rsidP="00726F56">
      <w:pPr>
        <w:pStyle w:val="NoSpacing"/>
        <w:jc w:val="both"/>
        <w:rPr>
          <w:sz w:val="22"/>
          <w:szCs w:val="22"/>
          <w:u w:val="single"/>
          <w:lang w:eastAsia="en-GB"/>
        </w:rPr>
      </w:pPr>
      <w:r w:rsidRPr="00726F56">
        <w:rPr>
          <w:sz w:val="22"/>
          <w:szCs w:val="22"/>
          <w:u w:val="single"/>
          <w:lang w:eastAsia="en-GB"/>
        </w:rPr>
        <w:t>Clerk to the Corporation</w:t>
      </w:r>
    </w:p>
    <w:p w:rsidR="00B26705" w:rsidRPr="00726F56" w:rsidRDefault="004E3F64" w:rsidP="00726F56">
      <w:pPr>
        <w:pStyle w:val="NoSpacing"/>
        <w:jc w:val="both"/>
        <w:rPr>
          <w:sz w:val="22"/>
          <w:szCs w:val="22"/>
          <w:u w:val="single"/>
          <w:lang w:eastAsia="en-GB"/>
        </w:rPr>
      </w:pPr>
      <w:r w:rsidRPr="00726F56">
        <w:rPr>
          <w:sz w:val="22"/>
          <w:szCs w:val="22"/>
          <w:u w:val="single"/>
          <w:lang w:eastAsia="en-GB"/>
        </w:rPr>
        <w:t>27 June 2019</w:t>
      </w:r>
    </w:p>
    <w:p w:rsidR="00B26705" w:rsidRPr="00726F56" w:rsidRDefault="00B26705" w:rsidP="00726F56">
      <w:pPr>
        <w:jc w:val="both"/>
        <w:rPr>
          <w:sz w:val="22"/>
          <w:szCs w:val="22"/>
        </w:rPr>
      </w:pPr>
    </w:p>
    <w:sectPr w:rsidR="00B26705" w:rsidRPr="00726F56" w:rsidSect="00770747">
      <w:headerReference w:type="even" r:id="rId11"/>
      <w:headerReference w:type="default" r:id="rId12"/>
      <w:footerReference w:type="even" r:id="rId13"/>
      <w:footerReference w:type="default" r:id="rId14"/>
      <w:headerReference w:type="first" r:id="rId15"/>
      <w:footerReference w:type="first" r:id="rId16"/>
      <w:pgSz w:w="11907" w:h="16839"/>
      <w:pgMar w:top="1440" w:right="1701" w:bottom="851" w:left="156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E4AB3" w:rsidRDefault="000E4AB3" w:rsidP="00FF3742">
      <w:r>
        <w:separator/>
      </w:r>
    </w:p>
  </w:endnote>
  <w:endnote w:type="continuationSeparator" w:id="0">
    <w:p w:rsidR="000E4AB3" w:rsidRDefault="000E4AB3" w:rsidP="00FF374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00004FF" w:usb2="00000000"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12" w:rsidRDefault="00E07A1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12" w:rsidRDefault="00E07A1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12" w:rsidRDefault="00E07A1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E4AB3" w:rsidRDefault="000E4AB3" w:rsidP="00FF3742">
      <w:r>
        <w:separator/>
      </w:r>
    </w:p>
  </w:footnote>
  <w:footnote w:type="continuationSeparator" w:id="0">
    <w:p w:rsidR="000E4AB3" w:rsidRDefault="000E4AB3" w:rsidP="00FF374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12" w:rsidRDefault="00E07A1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44684"/>
      <w:docPartObj>
        <w:docPartGallery w:val="Watermarks"/>
        <w:docPartUnique/>
      </w:docPartObj>
    </w:sdtPr>
    <w:sdtContent>
      <w:p w:rsidR="00E07A12" w:rsidRDefault="00E07A12">
        <w:pPr>
          <w:pStyle w:val="Header"/>
        </w:pPr>
        <w:r>
          <w:rPr>
            <w:noProof/>
            <w:lang w:val="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45057"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07A12" w:rsidRDefault="00E07A1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EF0CE9"/>
    <w:multiLevelType w:val="hybridMultilevel"/>
    <w:tmpl w:val="DCBA48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41E1EE2"/>
    <w:multiLevelType w:val="hybridMultilevel"/>
    <w:tmpl w:val="5888D5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7C65BB0"/>
    <w:multiLevelType w:val="hybridMultilevel"/>
    <w:tmpl w:val="76D8AF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8C17BFB"/>
    <w:multiLevelType w:val="hybridMultilevel"/>
    <w:tmpl w:val="F6E2F9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E494925"/>
    <w:multiLevelType w:val="hybridMultilevel"/>
    <w:tmpl w:val="A788947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F164AE"/>
    <w:multiLevelType w:val="hybridMultilevel"/>
    <w:tmpl w:val="88B03C8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170189E"/>
    <w:multiLevelType w:val="hybridMultilevel"/>
    <w:tmpl w:val="C81A1D48"/>
    <w:lvl w:ilvl="0" w:tplc="7BA6F804">
      <w:start w:val="1"/>
      <w:numFmt w:val="decimal"/>
      <w:lvlText w:val="%1."/>
      <w:lvlJc w:val="left"/>
      <w:pPr>
        <w:ind w:left="720" w:hanging="360"/>
      </w:pPr>
      <w:rPr>
        <w:i w:val="0"/>
      </w:rPr>
    </w:lvl>
    <w:lvl w:ilvl="1" w:tplc="D4A8EE1A">
      <w:start w:val="1"/>
      <w:numFmt w:val="bullet"/>
      <w:pStyle w:val="Bulletsspaced"/>
      <w:lvlText w:val=""/>
      <w:lvlJc w:val="left"/>
      <w:pPr>
        <w:ind w:left="1440" w:hanging="360"/>
      </w:pPr>
      <w:rPr>
        <w:rFonts w:ascii="Wingdings" w:hAnsi="Wingdings"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68771F3"/>
    <w:multiLevelType w:val="hybridMultilevel"/>
    <w:tmpl w:val="3576640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18163009"/>
    <w:multiLevelType w:val="hybridMultilevel"/>
    <w:tmpl w:val="77243F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FA70D40"/>
    <w:multiLevelType w:val="hybridMultilevel"/>
    <w:tmpl w:val="EEB2D6D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89516D"/>
    <w:multiLevelType w:val="hybridMultilevel"/>
    <w:tmpl w:val="76E25EF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0AB0070"/>
    <w:multiLevelType w:val="hybridMultilevel"/>
    <w:tmpl w:val="CAA48F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8B36A7"/>
    <w:multiLevelType w:val="hybridMultilevel"/>
    <w:tmpl w:val="D4CE6A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F854D1E"/>
    <w:multiLevelType w:val="hybridMultilevel"/>
    <w:tmpl w:val="7AC8DF8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41043E"/>
    <w:multiLevelType w:val="hybridMultilevel"/>
    <w:tmpl w:val="201C581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3631447A"/>
    <w:multiLevelType w:val="hybridMultilevel"/>
    <w:tmpl w:val="5EF0A1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7F90A4B"/>
    <w:multiLevelType w:val="hybridMultilevel"/>
    <w:tmpl w:val="42EA84D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8264051"/>
    <w:multiLevelType w:val="hybridMultilevel"/>
    <w:tmpl w:val="BD4695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94B3E34"/>
    <w:multiLevelType w:val="hybridMultilevel"/>
    <w:tmpl w:val="23FE28AC"/>
    <w:lvl w:ilvl="0" w:tplc="ABD22D5C">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3D041455"/>
    <w:multiLevelType w:val="hybridMultilevel"/>
    <w:tmpl w:val="E4B8F6B2"/>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3D1C2885"/>
    <w:multiLevelType w:val="hybridMultilevel"/>
    <w:tmpl w:val="7EF4B778"/>
    <w:lvl w:ilvl="0" w:tplc="08090001">
      <w:start w:val="1"/>
      <w:numFmt w:val="bullet"/>
      <w:lvlText w:val=""/>
      <w:lvlJc w:val="left"/>
      <w:pPr>
        <w:ind w:left="720" w:hanging="360"/>
      </w:pPr>
      <w:rPr>
        <w:rFonts w:ascii="Symbol" w:hAnsi="Symbol" w:hint="default"/>
      </w:rPr>
    </w:lvl>
    <w:lvl w:ilvl="1" w:tplc="F2A6528E">
      <w:numFmt w:val="bullet"/>
      <w:lvlText w:val="•"/>
      <w:lvlJc w:val="left"/>
      <w:pPr>
        <w:ind w:left="1440" w:hanging="360"/>
      </w:pPr>
      <w:rPr>
        <w:rFonts w:ascii="Arial" w:eastAsiaTheme="minorHAnsi"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0B936B4"/>
    <w:multiLevelType w:val="hybridMultilevel"/>
    <w:tmpl w:val="55E6C7A8"/>
    <w:lvl w:ilvl="0" w:tplc="D5CCA8B4">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305607E"/>
    <w:multiLevelType w:val="hybridMultilevel"/>
    <w:tmpl w:val="9E8010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3BE0B6B"/>
    <w:multiLevelType w:val="hybridMultilevel"/>
    <w:tmpl w:val="34169E2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63B7FB1"/>
    <w:multiLevelType w:val="hybridMultilevel"/>
    <w:tmpl w:val="05028A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74C6F42"/>
    <w:multiLevelType w:val="hybridMultilevel"/>
    <w:tmpl w:val="271E03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4C324E80"/>
    <w:multiLevelType w:val="hybridMultilevel"/>
    <w:tmpl w:val="7C4E2B7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4E525D07"/>
    <w:multiLevelType w:val="hybridMultilevel"/>
    <w:tmpl w:val="3E4C61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8" w15:restartNumberingAfterBreak="0">
    <w:nsid w:val="55264882"/>
    <w:multiLevelType w:val="hybridMultilevel"/>
    <w:tmpl w:val="DE36419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557770DD"/>
    <w:multiLevelType w:val="hybridMultilevel"/>
    <w:tmpl w:val="4B2A15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DB77248"/>
    <w:multiLevelType w:val="hybridMultilevel"/>
    <w:tmpl w:val="AF4684B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1" w15:restartNumberingAfterBreak="0">
    <w:nsid w:val="62787184"/>
    <w:multiLevelType w:val="multilevel"/>
    <w:tmpl w:val="34ACF83C"/>
    <w:lvl w:ilvl="0">
      <w:start w:val="1"/>
      <w:numFmt w:val="decimal"/>
      <w:pStyle w:val="Level1"/>
      <w:lvlText w:val="%1."/>
      <w:lvlJc w:val="left"/>
      <w:pPr>
        <w:tabs>
          <w:tab w:val="num" w:pos="851"/>
        </w:tabs>
        <w:ind w:left="851" w:hanging="851"/>
      </w:pPr>
      <w:rPr>
        <w:b w:val="0"/>
        <w:i w:val="0"/>
        <w:strike w:val="0"/>
        <w:dstrike w:val="0"/>
        <w:u w:val="none"/>
        <w:effect w:val="none"/>
      </w:rPr>
    </w:lvl>
    <w:lvl w:ilvl="1">
      <w:start w:val="1"/>
      <w:numFmt w:val="decimal"/>
      <w:pStyle w:val="Level2"/>
      <w:lvlText w:val="%1.%2"/>
      <w:lvlJc w:val="left"/>
      <w:pPr>
        <w:tabs>
          <w:tab w:val="num" w:pos="851"/>
        </w:tabs>
        <w:ind w:left="851" w:hanging="851"/>
      </w:pPr>
      <w:rPr>
        <w:b w:val="0"/>
        <w:i w:val="0"/>
        <w:strike w:val="0"/>
        <w:dstrike w:val="0"/>
        <w:u w:val="none"/>
        <w:effect w:val="none"/>
      </w:rPr>
    </w:lvl>
    <w:lvl w:ilvl="2">
      <w:start w:val="1"/>
      <w:numFmt w:val="decimal"/>
      <w:pStyle w:val="Level3"/>
      <w:lvlText w:val="%1.%2.%3"/>
      <w:lvlJc w:val="left"/>
      <w:pPr>
        <w:tabs>
          <w:tab w:val="num" w:pos="1843"/>
        </w:tabs>
        <w:ind w:left="1843" w:hanging="992"/>
      </w:pPr>
      <w:rPr>
        <w:b w:val="0"/>
        <w:i w:val="0"/>
        <w:strike w:val="0"/>
        <w:dstrike w:val="0"/>
        <w:u w:val="none"/>
        <w:effect w:val="none"/>
      </w:rPr>
    </w:lvl>
    <w:lvl w:ilvl="3">
      <w:start w:val="1"/>
      <w:numFmt w:val="decimal"/>
      <w:pStyle w:val="Level4"/>
      <w:lvlText w:val="%1.%2.%3.%4"/>
      <w:lvlJc w:val="left"/>
      <w:pPr>
        <w:tabs>
          <w:tab w:val="num" w:pos="3119"/>
        </w:tabs>
        <w:ind w:left="3119" w:hanging="1276"/>
      </w:pPr>
      <w:rPr>
        <w:b w:val="0"/>
        <w:i w:val="0"/>
        <w:strike w:val="0"/>
        <w:dstrike w:val="0"/>
        <w:u w:val="none"/>
        <w:effect w:val="none"/>
      </w:rPr>
    </w:lvl>
    <w:lvl w:ilvl="4">
      <w:start w:val="1"/>
      <w:numFmt w:val="lowerLetter"/>
      <w:pStyle w:val="Level5"/>
      <w:lvlText w:val="(%5)"/>
      <w:lvlJc w:val="left"/>
      <w:pPr>
        <w:tabs>
          <w:tab w:val="num" w:pos="3119"/>
        </w:tabs>
        <w:ind w:left="3119" w:hanging="1276"/>
      </w:pPr>
      <w:rPr>
        <w:b w:val="0"/>
        <w:i w:val="0"/>
        <w:strike w:val="0"/>
        <w:dstrike w:val="0"/>
        <w:u w:val="none"/>
        <w:effect w:val="none"/>
      </w:rPr>
    </w:lvl>
    <w:lvl w:ilvl="5">
      <w:start w:val="1"/>
      <w:numFmt w:val="none"/>
      <w:lvlText w:val="(Not Defined)"/>
      <w:lvlJc w:val="left"/>
      <w:pPr>
        <w:tabs>
          <w:tab w:val="num" w:pos="3240"/>
        </w:tabs>
        <w:ind w:left="2736" w:hanging="936"/>
      </w:pPr>
    </w:lvl>
    <w:lvl w:ilvl="6">
      <w:start w:val="1"/>
      <w:numFmt w:val="none"/>
      <w:lvlText w:val="(Not Defined)"/>
      <w:lvlJc w:val="left"/>
      <w:pPr>
        <w:tabs>
          <w:tab w:val="num" w:pos="3600"/>
        </w:tabs>
        <w:ind w:left="3240" w:hanging="1080"/>
      </w:pPr>
    </w:lvl>
    <w:lvl w:ilvl="7">
      <w:start w:val="1"/>
      <w:numFmt w:val="none"/>
      <w:lvlText w:val="(Not Defined)"/>
      <w:lvlJc w:val="left"/>
      <w:pPr>
        <w:tabs>
          <w:tab w:val="num" w:pos="3960"/>
        </w:tabs>
        <w:ind w:left="3744" w:hanging="1224"/>
      </w:pPr>
    </w:lvl>
    <w:lvl w:ilvl="8">
      <w:start w:val="1"/>
      <w:numFmt w:val="none"/>
      <w:lvlText w:val="(Not Defined)"/>
      <w:lvlJc w:val="left"/>
      <w:pPr>
        <w:tabs>
          <w:tab w:val="num" w:pos="4320"/>
        </w:tabs>
        <w:ind w:left="4320" w:hanging="1440"/>
      </w:pPr>
    </w:lvl>
  </w:abstractNum>
  <w:abstractNum w:abstractNumId="32" w15:restartNumberingAfterBreak="0">
    <w:nsid w:val="649F7CB6"/>
    <w:multiLevelType w:val="hybridMultilevel"/>
    <w:tmpl w:val="67A822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15:restartNumberingAfterBreak="0">
    <w:nsid w:val="67311517"/>
    <w:multiLevelType w:val="hybridMultilevel"/>
    <w:tmpl w:val="914A50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6E29657E"/>
    <w:multiLevelType w:val="hybridMultilevel"/>
    <w:tmpl w:val="B7CE0AA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5" w15:restartNumberingAfterBreak="0">
    <w:nsid w:val="745479C7"/>
    <w:multiLevelType w:val="hybridMultilevel"/>
    <w:tmpl w:val="3BF0DBD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6" w15:restartNumberingAfterBreak="0">
    <w:nsid w:val="7584131C"/>
    <w:multiLevelType w:val="hybridMultilevel"/>
    <w:tmpl w:val="3458782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76DF2ABB"/>
    <w:multiLevelType w:val="hybridMultilevel"/>
    <w:tmpl w:val="1278F7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8" w15:restartNumberingAfterBreak="0">
    <w:nsid w:val="77210F20"/>
    <w:multiLevelType w:val="hybridMultilevel"/>
    <w:tmpl w:val="BFDC11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78077751"/>
    <w:multiLevelType w:val="hybridMultilevel"/>
    <w:tmpl w:val="6D9438D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num>
  <w:num w:numId="3">
    <w:abstractNumId w:val="17"/>
  </w:num>
  <w:num w:numId="4">
    <w:abstractNumId w:val="38"/>
  </w:num>
  <w:num w:numId="5">
    <w:abstractNumId w:val="23"/>
  </w:num>
  <w:num w:numId="6">
    <w:abstractNumId w:val="7"/>
  </w:num>
  <w:num w:numId="7">
    <w:abstractNumId w:val="35"/>
  </w:num>
  <w:num w:numId="8">
    <w:abstractNumId w:val="28"/>
  </w:num>
  <w:num w:numId="9">
    <w:abstractNumId w:val="0"/>
  </w:num>
  <w:num w:numId="10">
    <w:abstractNumId w:val="14"/>
  </w:num>
  <w:num w:numId="11">
    <w:abstractNumId w:val="5"/>
  </w:num>
  <w:num w:numId="12">
    <w:abstractNumId w:val="9"/>
  </w:num>
  <w:num w:numId="13">
    <w:abstractNumId w:val="29"/>
  </w:num>
  <w:num w:numId="14">
    <w:abstractNumId w:val="2"/>
  </w:num>
  <w:num w:numId="15">
    <w:abstractNumId w:val="27"/>
  </w:num>
  <w:num w:numId="16">
    <w:abstractNumId w:val="26"/>
  </w:num>
  <w:num w:numId="17">
    <w:abstractNumId w:val="21"/>
  </w:num>
  <w:num w:numId="18">
    <w:abstractNumId w:val="16"/>
  </w:num>
  <w:num w:numId="19">
    <w:abstractNumId w:val="18"/>
  </w:num>
  <w:num w:numId="20">
    <w:abstractNumId w:val="11"/>
  </w:num>
  <w:num w:numId="21">
    <w:abstractNumId w:val="20"/>
  </w:num>
  <w:num w:numId="22">
    <w:abstractNumId w:val="12"/>
  </w:num>
  <w:num w:numId="23">
    <w:abstractNumId w:val="32"/>
  </w:num>
  <w:num w:numId="24">
    <w:abstractNumId w:val="25"/>
  </w:num>
  <w:num w:numId="25">
    <w:abstractNumId w:val="33"/>
  </w:num>
  <w:num w:numId="26">
    <w:abstractNumId w:val="39"/>
  </w:num>
  <w:num w:numId="27">
    <w:abstractNumId w:val="19"/>
  </w:num>
  <w:num w:numId="28">
    <w:abstractNumId w:val="1"/>
  </w:num>
  <w:num w:numId="29">
    <w:abstractNumId w:val="22"/>
  </w:num>
  <w:num w:numId="30">
    <w:abstractNumId w:val="34"/>
  </w:num>
  <w:num w:numId="31">
    <w:abstractNumId w:val="8"/>
  </w:num>
  <w:num w:numId="32">
    <w:abstractNumId w:val="3"/>
  </w:num>
  <w:num w:numId="33">
    <w:abstractNumId w:val="24"/>
  </w:num>
  <w:num w:numId="34">
    <w:abstractNumId w:val="13"/>
  </w:num>
  <w:num w:numId="35">
    <w:abstractNumId w:val="10"/>
  </w:num>
  <w:num w:numId="36">
    <w:abstractNumId w:val="15"/>
  </w:num>
  <w:num w:numId="37">
    <w:abstractNumId w:val="30"/>
  </w:num>
  <w:num w:numId="38">
    <w:abstractNumId w:val="4"/>
  </w:num>
  <w:num w:numId="39">
    <w:abstractNumId w:val="37"/>
  </w:num>
  <w:num w:numId="40">
    <w:abstractNumId w:val="3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drawingGridHorizontalSpacing w:val="110"/>
  <w:displayHorizontalDrawingGridEvery w:val="2"/>
  <w:displayVerticalDrawingGridEvery w:val="2"/>
  <w:characterSpacingControl w:val="doNotCompress"/>
  <w:hdrShapeDefaults>
    <o:shapedefaults v:ext="edit" spidmax="45058"/>
    <o:shapelayout v:ext="edit">
      <o:idmap v:ext="edit" data="44"/>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D6128"/>
    <w:rsid w:val="0000029C"/>
    <w:rsid w:val="00000888"/>
    <w:rsid w:val="000008A5"/>
    <w:rsid w:val="000009A4"/>
    <w:rsid w:val="00000A0A"/>
    <w:rsid w:val="00001A2B"/>
    <w:rsid w:val="00002273"/>
    <w:rsid w:val="000023BE"/>
    <w:rsid w:val="00002E62"/>
    <w:rsid w:val="0000314D"/>
    <w:rsid w:val="0000361C"/>
    <w:rsid w:val="0000378A"/>
    <w:rsid w:val="000040C9"/>
    <w:rsid w:val="000045A4"/>
    <w:rsid w:val="00004616"/>
    <w:rsid w:val="00004683"/>
    <w:rsid w:val="000051DB"/>
    <w:rsid w:val="0000554A"/>
    <w:rsid w:val="00006269"/>
    <w:rsid w:val="00006BDE"/>
    <w:rsid w:val="00007797"/>
    <w:rsid w:val="000077A6"/>
    <w:rsid w:val="00007A76"/>
    <w:rsid w:val="00010986"/>
    <w:rsid w:val="00010A0C"/>
    <w:rsid w:val="00010B06"/>
    <w:rsid w:val="00011687"/>
    <w:rsid w:val="00011799"/>
    <w:rsid w:val="00011DAA"/>
    <w:rsid w:val="000126FC"/>
    <w:rsid w:val="00013304"/>
    <w:rsid w:val="000135C2"/>
    <w:rsid w:val="00013A00"/>
    <w:rsid w:val="00013DAB"/>
    <w:rsid w:val="0001480C"/>
    <w:rsid w:val="00014FA8"/>
    <w:rsid w:val="00015166"/>
    <w:rsid w:val="0001623D"/>
    <w:rsid w:val="00016523"/>
    <w:rsid w:val="000166C6"/>
    <w:rsid w:val="00016714"/>
    <w:rsid w:val="0001672D"/>
    <w:rsid w:val="00016873"/>
    <w:rsid w:val="00016AD5"/>
    <w:rsid w:val="000173E3"/>
    <w:rsid w:val="0002037A"/>
    <w:rsid w:val="00021138"/>
    <w:rsid w:val="000228F5"/>
    <w:rsid w:val="00024523"/>
    <w:rsid w:val="00024AD5"/>
    <w:rsid w:val="00026220"/>
    <w:rsid w:val="000273B5"/>
    <w:rsid w:val="0003080B"/>
    <w:rsid w:val="0003097D"/>
    <w:rsid w:val="00030FA2"/>
    <w:rsid w:val="00031416"/>
    <w:rsid w:val="00031EC5"/>
    <w:rsid w:val="000320E3"/>
    <w:rsid w:val="00032213"/>
    <w:rsid w:val="0003246C"/>
    <w:rsid w:val="00032602"/>
    <w:rsid w:val="00033EC7"/>
    <w:rsid w:val="000340BF"/>
    <w:rsid w:val="00034344"/>
    <w:rsid w:val="00034D4A"/>
    <w:rsid w:val="00035685"/>
    <w:rsid w:val="00036E54"/>
    <w:rsid w:val="00037781"/>
    <w:rsid w:val="0004146A"/>
    <w:rsid w:val="00041801"/>
    <w:rsid w:val="00041A1A"/>
    <w:rsid w:val="00041ECF"/>
    <w:rsid w:val="000429C7"/>
    <w:rsid w:val="0004360D"/>
    <w:rsid w:val="00043F90"/>
    <w:rsid w:val="0004542E"/>
    <w:rsid w:val="000458AC"/>
    <w:rsid w:val="0004744F"/>
    <w:rsid w:val="000501CC"/>
    <w:rsid w:val="00050900"/>
    <w:rsid w:val="00051580"/>
    <w:rsid w:val="00051A0C"/>
    <w:rsid w:val="00051B94"/>
    <w:rsid w:val="00051F36"/>
    <w:rsid w:val="000525D2"/>
    <w:rsid w:val="000525EF"/>
    <w:rsid w:val="0005287F"/>
    <w:rsid w:val="00053438"/>
    <w:rsid w:val="00053BD3"/>
    <w:rsid w:val="0005621B"/>
    <w:rsid w:val="000562DB"/>
    <w:rsid w:val="000564CA"/>
    <w:rsid w:val="00056B92"/>
    <w:rsid w:val="00057A2B"/>
    <w:rsid w:val="0006017C"/>
    <w:rsid w:val="00060684"/>
    <w:rsid w:val="00061151"/>
    <w:rsid w:val="00061173"/>
    <w:rsid w:val="00061221"/>
    <w:rsid w:val="0006228E"/>
    <w:rsid w:val="00063978"/>
    <w:rsid w:val="00063CC2"/>
    <w:rsid w:val="00064CF2"/>
    <w:rsid w:val="00064D61"/>
    <w:rsid w:val="00064DCC"/>
    <w:rsid w:val="0006582F"/>
    <w:rsid w:val="00065BEB"/>
    <w:rsid w:val="00071746"/>
    <w:rsid w:val="000717A2"/>
    <w:rsid w:val="0007197F"/>
    <w:rsid w:val="00071DB1"/>
    <w:rsid w:val="00071DC3"/>
    <w:rsid w:val="000724F2"/>
    <w:rsid w:val="00073DE0"/>
    <w:rsid w:val="00075730"/>
    <w:rsid w:val="00075826"/>
    <w:rsid w:val="00075F35"/>
    <w:rsid w:val="0007604F"/>
    <w:rsid w:val="00076C3D"/>
    <w:rsid w:val="00083AB1"/>
    <w:rsid w:val="00084EE3"/>
    <w:rsid w:val="0008517D"/>
    <w:rsid w:val="00085421"/>
    <w:rsid w:val="00085CFF"/>
    <w:rsid w:val="00086063"/>
    <w:rsid w:val="000861A8"/>
    <w:rsid w:val="0009019B"/>
    <w:rsid w:val="00090B88"/>
    <w:rsid w:val="00090C0B"/>
    <w:rsid w:val="000913AE"/>
    <w:rsid w:val="00091413"/>
    <w:rsid w:val="00092FA9"/>
    <w:rsid w:val="00093480"/>
    <w:rsid w:val="00094029"/>
    <w:rsid w:val="00094466"/>
    <w:rsid w:val="000948C9"/>
    <w:rsid w:val="00094D42"/>
    <w:rsid w:val="00095042"/>
    <w:rsid w:val="0009527D"/>
    <w:rsid w:val="00095F68"/>
    <w:rsid w:val="00096959"/>
    <w:rsid w:val="00096F6D"/>
    <w:rsid w:val="000970F9"/>
    <w:rsid w:val="000A0039"/>
    <w:rsid w:val="000A1887"/>
    <w:rsid w:val="000A1AD4"/>
    <w:rsid w:val="000A1D08"/>
    <w:rsid w:val="000A232F"/>
    <w:rsid w:val="000A4AF2"/>
    <w:rsid w:val="000A50E2"/>
    <w:rsid w:val="000A5CB9"/>
    <w:rsid w:val="000A68EF"/>
    <w:rsid w:val="000A72E7"/>
    <w:rsid w:val="000A77F5"/>
    <w:rsid w:val="000A7E0A"/>
    <w:rsid w:val="000B101F"/>
    <w:rsid w:val="000B13E4"/>
    <w:rsid w:val="000B2560"/>
    <w:rsid w:val="000B2D15"/>
    <w:rsid w:val="000B2D5B"/>
    <w:rsid w:val="000B3B5B"/>
    <w:rsid w:val="000B4B44"/>
    <w:rsid w:val="000B563D"/>
    <w:rsid w:val="000B648F"/>
    <w:rsid w:val="000B771C"/>
    <w:rsid w:val="000B7C0F"/>
    <w:rsid w:val="000C0450"/>
    <w:rsid w:val="000C0610"/>
    <w:rsid w:val="000C06A7"/>
    <w:rsid w:val="000C0957"/>
    <w:rsid w:val="000C0BCC"/>
    <w:rsid w:val="000C1571"/>
    <w:rsid w:val="000C1B24"/>
    <w:rsid w:val="000C1C59"/>
    <w:rsid w:val="000C3269"/>
    <w:rsid w:val="000C3E22"/>
    <w:rsid w:val="000C4A94"/>
    <w:rsid w:val="000C551B"/>
    <w:rsid w:val="000C5834"/>
    <w:rsid w:val="000C58D8"/>
    <w:rsid w:val="000C5F1A"/>
    <w:rsid w:val="000C5FEF"/>
    <w:rsid w:val="000C6276"/>
    <w:rsid w:val="000C730D"/>
    <w:rsid w:val="000C744C"/>
    <w:rsid w:val="000C7B25"/>
    <w:rsid w:val="000D1B8E"/>
    <w:rsid w:val="000D1D23"/>
    <w:rsid w:val="000D3519"/>
    <w:rsid w:val="000D43E7"/>
    <w:rsid w:val="000D57C6"/>
    <w:rsid w:val="000D5AAC"/>
    <w:rsid w:val="000D6027"/>
    <w:rsid w:val="000D603D"/>
    <w:rsid w:val="000D63BA"/>
    <w:rsid w:val="000E0472"/>
    <w:rsid w:val="000E12C6"/>
    <w:rsid w:val="000E13B5"/>
    <w:rsid w:val="000E1D03"/>
    <w:rsid w:val="000E286E"/>
    <w:rsid w:val="000E3490"/>
    <w:rsid w:val="000E4713"/>
    <w:rsid w:val="000E48C8"/>
    <w:rsid w:val="000E48F1"/>
    <w:rsid w:val="000E4AB3"/>
    <w:rsid w:val="000E4EC5"/>
    <w:rsid w:val="000E5D4E"/>
    <w:rsid w:val="000E6D6E"/>
    <w:rsid w:val="000E6E37"/>
    <w:rsid w:val="000E7202"/>
    <w:rsid w:val="000F0127"/>
    <w:rsid w:val="000F1708"/>
    <w:rsid w:val="000F256C"/>
    <w:rsid w:val="000F2C6C"/>
    <w:rsid w:val="000F3C37"/>
    <w:rsid w:val="000F44A5"/>
    <w:rsid w:val="000F5CE2"/>
    <w:rsid w:val="000F7107"/>
    <w:rsid w:val="000F7B53"/>
    <w:rsid w:val="000F7DE9"/>
    <w:rsid w:val="0010006F"/>
    <w:rsid w:val="00100543"/>
    <w:rsid w:val="0010065A"/>
    <w:rsid w:val="0010083B"/>
    <w:rsid w:val="00101D0E"/>
    <w:rsid w:val="0010391D"/>
    <w:rsid w:val="001041F6"/>
    <w:rsid w:val="00104578"/>
    <w:rsid w:val="001049B8"/>
    <w:rsid w:val="001049B9"/>
    <w:rsid w:val="001052EB"/>
    <w:rsid w:val="00105A3B"/>
    <w:rsid w:val="00106735"/>
    <w:rsid w:val="0010687A"/>
    <w:rsid w:val="00107C63"/>
    <w:rsid w:val="001106C1"/>
    <w:rsid w:val="001106F6"/>
    <w:rsid w:val="0011085C"/>
    <w:rsid w:val="00111BC9"/>
    <w:rsid w:val="001121A5"/>
    <w:rsid w:val="001127BE"/>
    <w:rsid w:val="00112899"/>
    <w:rsid w:val="00113EE3"/>
    <w:rsid w:val="001146C7"/>
    <w:rsid w:val="00115123"/>
    <w:rsid w:val="00115D13"/>
    <w:rsid w:val="0011662C"/>
    <w:rsid w:val="00117598"/>
    <w:rsid w:val="00120074"/>
    <w:rsid w:val="001205B1"/>
    <w:rsid w:val="00121F59"/>
    <w:rsid w:val="00121F6E"/>
    <w:rsid w:val="001228CB"/>
    <w:rsid w:val="00122A42"/>
    <w:rsid w:val="0012367D"/>
    <w:rsid w:val="001238E1"/>
    <w:rsid w:val="0012469F"/>
    <w:rsid w:val="00125BAB"/>
    <w:rsid w:val="00125C37"/>
    <w:rsid w:val="00127295"/>
    <w:rsid w:val="00127680"/>
    <w:rsid w:val="00127936"/>
    <w:rsid w:val="00130A1F"/>
    <w:rsid w:val="00130E64"/>
    <w:rsid w:val="0013103C"/>
    <w:rsid w:val="00131430"/>
    <w:rsid w:val="00131FC0"/>
    <w:rsid w:val="00132596"/>
    <w:rsid w:val="00133132"/>
    <w:rsid w:val="00133A86"/>
    <w:rsid w:val="00133ED6"/>
    <w:rsid w:val="001354DB"/>
    <w:rsid w:val="00135795"/>
    <w:rsid w:val="00135A34"/>
    <w:rsid w:val="00135DC5"/>
    <w:rsid w:val="001363CF"/>
    <w:rsid w:val="001364F6"/>
    <w:rsid w:val="00136B2D"/>
    <w:rsid w:val="001404E5"/>
    <w:rsid w:val="001405D4"/>
    <w:rsid w:val="00141F4D"/>
    <w:rsid w:val="00142DF3"/>
    <w:rsid w:val="001459CB"/>
    <w:rsid w:val="00145AB9"/>
    <w:rsid w:val="00145F07"/>
    <w:rsid w:val="0014712F"/>
    <w:rsid w:val="00147563"/>
    <w:rsid w:val="001479AA"/>
    <w:rsid w:val="001503DE"/>
    <w:rsid w:val="001505A6"/>
    <w:rsid w:val="0015093C"/>
    <w:rsid w:val="00151011"/>
    <w:rsid w:val="00151132"/>
    <w:rsid w:val="001517D7"/>
    <w:rsid w:val="00152690"/>
    <w:rsid w:val="00152776"/>
    <w:rsid w:val="00154602"/>
    <w:rsid w:val="00154B03"/>
    <w:rsid w:val="00154FDA"/>
    <w:rsid w:val="00155012"/>
    <w:rsid w:val="00155C46"/>
    <w:rsid w:val="00157964"/>
    <w:rsid w:val="00160688"/>
    <w:rsid w:val="00160888"/>
    <w:rsid w:val="00161464"/>
    <w:rsid w:val="00161886"/>
    <w:rsid w:val="00161A67"/>
    <w:rsid w:val="0016209E"/>
    <w:rsid w:val="00163B0B"/>
    <w:rsid w:val="00163EFD"/>
    <w:rsid w:val="001660C2"/>
    <w:rsid w:val="00166286"/>
    <w:rsid w:val="00166B20"/>
    <w:rsid w:val="001675CB"/>
    <w:rsid w:val="00170737"/>
    <w:rsid w:val="001712CD"/>
    <w:rsid w:val="001714AB"/>
    <w:rsid w:val="00171A80"/>
    <w:rsid w:val="00171EC1"/>
    <w:rsid w:val="00172E18"/>
    <w:rsid w:val="001753C5"/>
    <w:rsid w:val="00176114"/>
    <w:rsid w:val="00176492"/>
    <w:rsid w:val="00176BC9"/>
    <w:rsid w:val="001775D6"/>
    <w:rsid w:val="00177D75"/>
    <w:rsid w:val="00177DDD"/>
    <w:rsid w:val="001805C2"/>
    <w:rsid w:val="001807E1"/>
    <w:rsid w:val="001812EA"/>
    <w:rsid w:val="001815A8"/>
    <w:rsid w:val="001828EF"/>
    <w:rsid w:val="00184789"/>
    <w:rsid w:val="001857E8"/>
    <w:rsid w:val="00185C9E"/>
    <w:rsid w:val="00185DF6"/>
    <w:rsid w:val="00187405"/>
    <w:rsid w:val="0018746F"/>
    <w:rsid w:val="00187881"/>
    <w:rsid w:val="00190BC0"/>
    <w:rsid w:val="00191352"/>
    <w:rsid w:val="00191418"/>
    <w:rsid w:val="00191BDE"/>
    <w:rsid w:val="0019275B"/>
    <w:rsid w:val="001927EB"/>
    <w:rsid w:val="00192886"/>
    <w:rsid w:val="00192B46"/>
    <w:rsid w:val="001937D0"/>
    <w:rsid w:val="00195378"/>
    <w:rsid w:val="00197C20"/>
    <w:rsid w:val="001A0005"/>
    <w:rsid w:val="001A09DA"/>
    <w:rsid w:val="001A36D7"/>
    <w:rsid w:val="001A3D85"/>
    <w:rsid w:val="001A40F9"/>
    <w:rsid w:val="001A42B0"/>
    <w:rsid w:val="001A42F9"/>
    <w:rsid w:val="001A5191"/>
    <w:rsid w:val="001A55C8"/>
    <w:rsid w:val="001A5903"/>
    <w:rsid w:val="001A675A"/>
    <w:rsid w:val="001A6ABD"/>
    <w:rsid w:val="001A6E17"/>
    <w:rsid w:val="001A7203"/>
    <w:rsid w:val="001B0BB2"/>
    <w:rsid w:val="001B1605"/>
    <w:rsid w:val="001B1703"/>
    <w:rsid w:val="001B1769"/>
    <w:rsid w:val="001B18B2"/>
    <w:rsid w:val="001B1AC7"/>
    <w:rsid w:val="001B1D29"/>
    <w:rsid w:val="001B3021"/>
    <w:rsid w:val="001B30B2"/>
    <w:rsid w:val="001B324F"/>
    <w:rsid w:val="001B340B"/>
    <w:rsid w:val="001B3E50"/>
    <w:rsid w:val="001B3EDC"/>
    <w:rsid w:val="001B45D1"/>
    <w:rsid w:val="001B4680"/>
    <w:rsid w:val="001B4C22"/>
    <w:rsid w:val="001B527E"/>
    <w:rsid w:val="001B6A69"/>
    <w:rsid w:val="001C1F2E"/>
    <w:rsid w:val="001C25E5"/>
    <w:rsid w:val="001C2BD4"/>
    <w:rsid w:val="001C2F89"/>
    <w:rsid w:val="001C33DF"/>
    <w:rsid w:val="001C3577"/>
    <w:rsid w:val="001C361D"/>
    <w:rsid w:val="001C3801"/>
    <w:rsid w:val="001C418F"/>
    <w:rsid w:val="001C43E4"/>
    <w:rsid w:val="001C4480"/>
    <w:rsid w:val="001C4707"/>
    <w:rsid w:val="001C59AF"/>
    <w:rsid w:val="001C5E5D"/>
    <w:rsid w:val="001D050C"/>
    <w:rsid w:val="001D0A1B"/>
    <w:rsid w:val="001D1082"/>
    <w:rsid w:val="001D27CE"/>
    <w:rsid w:val="001D3476"/>
    <w:rsid w:val="001D3756"/>
    <w:rsid w:val="001D37EE"/>
    <w:rsid w:val="001D3900"/>
    <w:rsid w:val="001D415D"/>
    <w:rsid w:val="001D574F"/>
    <w:rsid w:val="001D585A"/>
    <w:rsid w:val="001D643A"/>
    <w:rsid w:val="001D756A"/>
    <w:rsid w:val="001D7897"/>
    <w:rsid w:val="001D7D58"/>
    <w:rsid w:val="001E0264"/>
    <w:rsid w:val="001E02BF"/>
    <w:rsid w:val="001E064C"/>
    <w:rsid w:val="001E0C5C"/>
    <w:rsid w:val="001E0D61"/>
    <w:rsid w:val="001E1959"/>
    <w:rsid w:val="001E3054"/>
    <w:rsid w:val="001E359C"/>
    <w:rsid w:val="001E378E"/>
    <w:rsid w:val="001E45CE"/>
    <w:rsid w:val="001E534E"/>
    <w:rsid w:val="001E6605"/>
    <w:rsid w:val="001E696B"/>
    <w:rsid w:val="001E69AA"/>
    <w:rsid w:val="001E6B4A"/>
    <w:rsid w:val="001E7728"/>
    <w:rsid w:val="001E7BE0"/>
    <w:rsid w:val="001F02C2"/>
    <w:rsid w:val="001F2101"/>
    <w:rsid w:val="001F2B15"/>
    <w:rsid w:val="001F3838"/>
    <w:rsid w:val="001F5683"/>
    <w:rsid w:val="001F62FC"/>
    <w:rsid w:val="001F6351"/>
    <w:rsid w:val="001F72C2"/>
    <w:rsid w:val="001F7470"/>
    <w:rsid w:val="001F767C"/>
    <w:rsid w:val="001F79BA"/>
    <w:rsid w:val="00202ECE"/>
    <w:rsid w:val="00203849"/>
    <w:rsid w:val="00204330"/>
    <w:rsid w:val="002045D5"/>
    <w:rsid w:val="002051F5"/>
    <w:rsid w:val="00205368"/>
    <w:rsid w:val="00205381"/>
    <w:rsid w:val="00205D96"/>
    <w:rsid w:val="00205E74"/>
    <w:rsid w:val="00206183"/>
    <w:rsid w:val="002068CE"/>
    <w:rsid w:val="00206A39"/>
    <w:rsid w:val="00207176"/>
    <w:rsid w:val="00207387"/>
    <w:rsid w:val="002102A7"/>
    <w:rsid w:val="002102E6"/>
    <w:rsid w:val="00210B6E"/>
    <w:rsid w:val="00211F3E"/>
    <w:rsid w:val="0021266F"/>
    <w:rsid w:val="002127DE"/>
    <w:rsid w:val="00212ACB"/>
    <w:rsid w:val="00213C30"/>
    <w:rsid w:val="00213D0E"/>
    <w:rsid w:val="0021529C"/>
    <w:rsid w:val="00215607"/>
    <w:rsid w:val="002160B3"/>
    <w:rsid w:val="0021670E"/>
    <w:rsid w:val="00216CD9"/>
    <w:rsid w:val="00216DF7"/>
    <w:rsid w:val="002211E4"/>
    <w:rsid w:val="002213DE"/>
    <w:rsid w:val="00221459"/>
    <w:rsid w:val="00221D33"/>
    <w:rsid w:val="00222476"/>
    <w:rsid w:val="00222722"/>
    <w:rsid w:val="00223CF2"/>
    <w:rsid w:val="00223DE8"/>
    <w:rsid w:val="0022572E"/>
    <w:rsid w:val="0022584E"/>
    <w:rsid w:val="00227109"/>
    <w:rsid w:val="00230212"/>
    <w:rsid w:val="002302F9"/>
    <w:rsid w:val="002307CE"/>
    <w:rsid w:val="00230A43"/>
    <w:rsid w:val="00231941"/>
    <w:rsid w:val="002321ED"/>
    <w:rsid w:val="00232989"/>
    <w:rsid w:val="00232D52"/>
    <w:rsid w:val="00233137"/>
    <w:rsid w:val="00233B4F"/>
    <w:rsid w:val="0023401B"/>
    <w:rsid w:val="00234242"/>
    <w:rsid w:val="002352B5"/>
    <w:rsid w:val="00235991"/>
    <w:rsid w:val="0023637A"/>
    <w:rsid w:val="00236AD3"/>
    <w:rsid w:val="00237BD2"/>
    <w:rsid w:val="00240102"/>
    <w:rsid w:val="002405C6"/>
    <w:rsid w:val="00240C5A"/>
    <w:rsid w:val="00240D4A"/>
    <w:rsid w:val="00241775"/>
    <w:rsid w:val="002418DD"/>
    <w:rsid w:val="00241AC3"/>
    <w:rsid w:val="00242AD4"/>
    <w:rsid w:val="00242D71"/>
    <w:rsid w:val="00242F8C"/>
    <w:rsid w:val="00243991"/>
    <w:rsid w:val="00244067"/>
    <w:rsid w:val="00244213"/>
    <w:rsid w:val="00244896"/>
    <w:rsid w:val="00245345"/>
    <w:rsid w:val="00245EB5"/>
    <w:rsid w:val="00246221"/>
    <w:rsid w:val="00246294"/>
    <w:rsid w:val="002464F3"/>
    <w:rsid w:val="00246DB8"/>
    <w:rsid w:val="002474E3"/>
    <w:rsid w:val="00247545"/>
    <w:rsid w:val="00250638"/>
    <w:rsid w:val="0025260A"/>
    <w:rsid w:val="00252CC0"/>
    <w:rsid w:val="00253B2D"/>
    <w:rsid w:val="00254D9D"/>
    <w:rsid w:val="00255A9D"/>
    <w:rsid w:val="0025678E"/>
    <w:rsid w:val="00256CBD"/>
    <w:rsid w:val="00257349"/>
    <w:rsid w:val="002609B0"/>
    <w:rsid w:val="00260EC4"/>
    <w:rsid w:val="00260F3E"/>
    <w:rsid w:val="00261365"/>
    <w:rsid w:val="002623F7"/>
    <w:rsid w:val="002627F2"/>
    <w:rsid w:val="00264ABE"/>
    <w:rsid w:val="002654D6"/>
    <w:rsid w:val="00266356"/>
    <w:rsid w:val="002700DC"/>
    <w:rsid w:val="002708EF"/>
    <w:rsid w:val="00270E21"/>
    <w:rsid w:val="00271114"/>
    <w:rsid w:val="00271CAD"/>
    <w:rsid w:val="0027253A"/>
    <w:rsid w:val="00272635"/>
    <w:rsid w:val="00272D6D"/>
    <w:rsid w:val="00272FDA"/>
    <w:rsid w:val="00273BBC"/>
    <w:rsid w:val="00274A03"/>
    <w:rsid w:val="00274AC1"/>
    <w:rsid w:val="00274FDE"/>
    <w:rsid w:val="0027502B"/>
    <w:rsid w:val="00275122"/>
    <w:rsid w:val="00275758"/>
    <w:rsid w:val="00275F87"/>
    <w:rsid w:val="00276D01"/>
    <w:rsid w:val="00276FAE"/>
    <w:rsid w:val="0027705C"/>
    <w:rsid w:val="0027730B"/>
    <w:rsid w:val="002775F0"/>
    <w:rsid w:val="00277758"/>
    <w:rsid w:val="00277857"/>
    <w:rsid w:val="00277C1A"/>
    <w:rsid w:val="0028079C"/>
    <w:rsid w:val="0028101E"/>
    <w:rsid w:val="002813C2"/>
    <w:rsid w:val="002820D2"/>
    <w:rsid w:val="00282379"/>
    <w:rsid w:val="00282627"/>
    <w:rsid w:val="00282F97"/>
    <w:rsid w:val="00283446"/>
    <w:rsid w:val="00284FD4"/>
    <w:rsid w:val="00285C06"/>
    <w:rsid w:val="00285E04"/>
    <w:rsid w:val="00286DDE"/>
    <w:rsid w:val="00287097"/>
    <w:rsid w:val="00287F62"/>
    <w:rsid w:val="00290729"/>
    <w:rsid w:val="00290B6D"/>
    <w:rsid w:val="00291CAC"/>
    <w:rsid w:val="002921EA"/>
    <w:rsid w:val="00292868"/>
    <w:rsid w:val="00293283"/>
    <w:rsid w:val="002939E6"/>
    <w:rsid w:val="00297AB8"/>
    <w:rsid w:val="002A01B7"/>
    <w:rsid w:val="002A1FF2"/>
    <w:rsid w:val="002A2223"/>
    <w:rsid w:val="002A2670"/>
    <w:rsid w:val="002A3985"/>
    <w:rsid w:val="002A3E6C"/>
    <w:rsid w:val="002A4F7D"/>
    <w:rsid w:val="002A5DDE"/>
    <w:rsid w:val="002A7690"/>
    <w:rsid w:val="002A7A8B"/>
    <w:rsid w:val="002A7DEA"/>
    <w:rsid w:val="002B0935"/>
    <w:rsid w:val="002B31C2"/>
    <w:rsid w:val="002B3EDB"/>
    <w:rsid w:val="002B6029"/>
    <w:rsid w:val="002B6494"/>
    <w:rsid w:val="002B711A"/>
    <w:rsid w:val="002B769B"/>
    <w:rsid w:val="002B7758"/>
    <w:rsid w:val="002C03AC"/>
    <w:rsid w:val="002C247B"/>
    <w:rsid w:val="002C28C0"/>
    <w:rsid w:val="002C2F4D"/>
    <w:rsid w:val="002C3121"/>
    <w:rsid w:val="002C320F"/>
    <w:rsid w:val="002C3B29"/>
    <w:rsid w:val="002C47FA"/>
    <w:rsid w:val="002C4B59"/>
    <w:rsid w:val="002C5336"/>
    <w:rsid w:val="002C5950"/>
    <w:rsid w:val="002C689A"/>
    <w:rsid w:val="002D028D"/>
    <w:rsid w:val="002D0CE0"/>
    <w:rsid w:val="002D0EF9"/>
    <w:rsid w:val="002D1906"/>
    <w:rsid w:val="002D2E2E"/>
    <w:rsid w:val="002D41F3"/>
    <w:rsid w:val="002D5449"/>
    <w:rsid w:val="002D5AC8"/>
    <w:rsid w:val="002D661A"/>
    <w:rsid w:val="002D7485"/>
    <w:rsid w:val="002D7DE6"/>
    <w:rsid w:val="002E0297"/>
    <w:rsid w:val="002E0452"/>
    <w:rsid w:val="002E1DDB"/>
    <w:rsid w:val="002E25F3"/>
    <w:rsid w:val="002E3CE3"/>
    <w:rsid w:val="002E41AD"/>
    <w:rsid w:val="002E49F8"/>
    <w:rsid w:val="002E5C00"/>
    <w:rsid w:val="002E5D59"/>
    <w:rsid w:val="002E6583"/>
    <w:rsid w:val="002E6D35"/>
    <w:rsid w:val="002E7E2C"/>
    <w:rsid w:val="002F028B"/>
    <w:rsid w:val="002F068A"/>
    <w:rsid w:val="002F2659"/>
    <w:rsid w:val="002F26AE"/>
    <w:rsid w:val="002F358F"/>
    <w:rsid w:val="002F365B"/>
    <w:rsid w:val="002F4115"/>
    <w:rsid w:val="002F52B4"/>
    <w:rsid w:val="002F563E"/>
    <w:rsid w:val="002F6237"/>
    <w:rsid w:val="002F6A6E"/>
    <w:rsid w:val="002F70A9"/>
    <w:rsid w:val="002F7903"/>
    <w:rsid w:val="002F7935"/>
    <w:rsid w:val="002F7BAF"/>
    <w:rsid w:val="002F7F0A"/>
    <w:rsid w:val="0030133E"/>
    <w:rsid w:val="0030134E"/>
    <w:rsid w:val="0030161D"/>
    <w:rsid w:val="00301862"/>
    <w:rsid w:val="00302114"/>
    <w:rsid w:val="0030242C"/>
    <w:rsid w:val="0030248E"/>
    <w:rsid w:val="003041D2"/>
    <w:rsid w:val="003044EB"/>
    <w:rsid w:val="0030580A"/>
    <w:rsid w:val="00305EE2"/>
    <w:rsid w:val="00306A40"/>
    <w:rsid w:val="00306DC8"/>
    <w:rsid w:val="003070FB"/>
    <w:rsid w:val="00307CCB"/>
    <w:rsid w:val="00307DFC"/>
    <w:rsid w:val="003102ED"/>
    <w:rsid w:val="00310BCA"/>
    <w:rsid w:val="00311692"/>
    <w:rsid w:val="00314015"/>
    <w:rsid w:val="003140D4"/>
    <w:rsid w:val="003153A4"/>
    <w:rsid w:val="00315EBD"/>
    <w:rsid w:val="0031609A"/>
    <w:rsid w:val="003161FF"/>
    <w:rsid w:val="003164FA"/>
    <w:rsid w:val="00316F72"/>
    <w:rsid w:val="00316F94"/>
    <w:rsid w:val="00317156"/>
    <w:rsid w:val="00317A48"/>
    <w:rsid w:val="00320E49"/>
    <w:rsid w:val="00321A07"/>
    <w:rsid w:val="00322BEE"/>
    <w:rsid w:val="00323229"/>
    <w:rsid w:val="00324824"/>
    <w:rsid w:val="00324E4A"/>
    <w:rsid w:val="003253E3"/>
    <w:rsid w:val="0032581E"/>
    <w:rsid w:val="00326178"/>
    <w:rsid w:val="003300FE"/>
    <w:rsid w:val="00331B03"/>
    <w:rsid w:val="00332BC7"/>
    <w:rsid w:val="00332F32"/>
    <w:rsid w:val="0033353E"/>
    <w:rsid w:val="00333749"/>
    <w:rsid w:val="00333E30"/>
    <w:rsid w:val="003341DD"/>
    <w:rsid w:val="003344DB"/>
    <w:rsid w:val="00334887"/>
    <w:rsid w:val="00335103"/>
    <w:rsid w:val="003370FE"/>
    <w:rsid w:val="00337AB2"/>
    <w:rsid w:val="003402E7"/>
    <w:rsid w:val="00342E5E"/>
    <w:rsid w:val="00343C0A"/>
    <w:rsid w:val="003442CA"/>
    <w:rsid w:val="0034430F"/>
    <w:rsid w:val="00344FAC"/>
    <w:rsid w:val="00346DB1"/>
    <w:rsid w:val="00347AEF"/>
    <w:rsid w:val="00347B80"/>
    <w:rsid w:val="00347E73"/>
    <w:rsid w:val="00347F20"/>
    <w:rsid w:val="003504D3"/>
    <w:rsid w:val="003509BF"/>
    <w:rsid w:val="00350B2A"/>
    <w:rsid w:val="00351F5E"/>
    <w:rsid w:val="003530E5"/>
    <w:rsid w:val="00353602"/>
    <w:rsid w:val="003536FC"/>
    <w:rsid w:val="003542B1"/>
    <w:rsid w:val="0035440E"/>
    <w:rsid w:val="00354AC1"/>
    <w:rsid w:val="003558E3"/>
    <w:rsid w:val="00355C9F"/>
    <w:rsid w:val="00355CBE"/>
    <w:rsid w:val="003564BB"/>
    <w:rsid w:val="003569BC"/>
    <w:rsid w:val="00356DEC"/>
    <w:rsid w:val="00356E9C"/>
    <w:rsid w:val="00357338"/>
    <w:rsid w:val="00357FA8"/>
    <w:rsid w:val="00360815"/>
    <w:rsid w:val="003617D5"/>
    <w:rsid w:val="00362D71"/>
    <w:rsid w:val="00362EA7"/>
    <w:rsid w:val="00363A10"/>
    <w:rsid w:val="00363C94"/>
    <w:rsid w:val="003654B8"/>
    <w:rsid w:val="00365FE2"/>
    <w:rsid w:val="00366A23"/>
    <w:rsid w:val="00366BDE"/>
    <w:rsid w:val="00366FE9"/>
    <w:rsid w:val="00367F8C"/>
    <w:rsid w:val="003721B6"/>
    <w:rsid w:val="00372AC3"/>
    <w:rsid w:val="0037344E"/>
    <w:rsid w:val="0037364D"/>
    <w:rsid w:val="003737DB"/>
    <w:rsid w:val="00374B89"/>
    <w:rsid w:val="00376143"/>
    <w:rsid w:val="0038015D"/>
    <w:rsid w:val="00381CD3"/>
    <w:rsid w:val="00382047"/>
    <w:rsid w:val="00382566"/>
    <w:rsid w:val="00383345"/>
    <w:rsid w:val="003837E0"/>
    <w:rsid w:val="003850CC"/>
    <w:rsid w:val="003854A1"/>
    <w:rsid w:val="00387144"/>
    <w:rsid w:val="00387B3C"/>
    <w:rsid w:val="003924F6"/>
    <w:rsid w:val="00392619"/>
    <w:rsid w:val="00394384"/>
    <w:rsid w:val="00395051"/>
    <w:rsid w:val="00395444"/>
    <w:rsid w:val="003958B2"/>
    <w:rsid w:val="00395F4B"/>
    <w:rsid w:val="00396068"/>
    <w:rsid w:val="00397E8B"/>
    <w:rsid w:val="003A01BF"/>
    <w:rsid w:val="003A079D"/>
    <w:rsid w:val="003A1141"/>
    <w:rsid w:val="003A129F"/>
    <w:rsid w:val="003A2A9A"/>
    <w:rsid w:val="003A4289"/>
    <w:rsid w:val="003A43E2"/>
    <w:rsid w:val="003A4953"/>
    <w:rsid w:val="003A5E2E"/>
    <w:rsid w:val="003A651E"/>
    <w:rsid w:val="003A7ABD"/>
    <w:rsid w:val="003B1B33"/>
    <w:rsid w:val="003B2409"/>
    <w:rsid w:val="003B2631"/>
    <w:rsid w:val="003B2ED6"/>
    <w:rsid w:val="003B31F9"/>
    <w:rsid w:val="003B3863"/>
    <w:rsid w:val="003B4438"/>
    <w:rsid w:val="003B5E79"/>
    <w:rsid w:val="003B6498"/>
    <w:rsid w:val="003B6530"/>
    <w:rsid w:val="003B6975"/>
    <w:rsid w:val="003C0321"/>
    <w:rsid w:val="003C06CD"/>
    <w:rsid w:val="003C3787"/>
    <w:rsid w:val="003C3873"/>
    <w:rsid w:val="003C3D19"/>
    <w:rsid w:val="003C3E29"/>
    <w:rsid w:val="003C420D"/>
    <w:rsid w:val="003C4373"/>
    <w:rsid w:val="003C4A5E"/>
    <w:rsid w:val="003C4F60"/>
    <w:rsid w:val="003C54CC"/>
    <w:rsid w:val="003C56E7"/>
    <w:rsid w:val="003C570D"/>
    <w:rsid w:val="003C5CDD"/>
    <w:rsid w:val="003C6945"/>
    <w:rsid w:val="003C70E1"/>
    <w:rsid w:val="003C77A3"/>
    <w:rsid w:val="003C7DBE"/>
    <w:rsid w:val="003D01F3"/>
    <w:rsid w:val="003D1635"/>
    <w:rsid w:val="003D1920"/>
    <w:rsid w:val="003D1E4C"/>
    <w:rsid w:val="003D20F8"/>
    <w:rsid w:val="003D29DC"/>
    <w:rsid w:val="003D3BC8"/>
    <w:rsid w:val="003D4987"/>
    <w:rsid w:val="003D57AD"/>
    <w:rsid w:val="003D5997"/>
    <w:rsid w:val="003D59D3"/>
    <w:rsid w:val="003D6982"/>
    <w:rsid w:val="003D7AB6"/>
    <w:rsid w:val="003E0EC8"/>
    <w:rsid w:val="003E1FD5"/>
    <w:rsid w:val="003E21F6"/>
    <w:rsid w:val="003E3CA4"/>
    <w:rsid w:val="003E3DF1"/>
    <w:rsid w:val="003E45CF"/>
    <w:rsid w:val="003E4F86"/>
    <w:rsid w:val="003E51D8"/>
    <w:rsid w:val="003E5253"/>
    <w:rsid w:val="003E5CE9"/>
    <w:rsid w:val="003E6B60"/>
    <w:rsid w:val="003E70B7"/>
    <w:rsid w:val="003F1377"/>
    <w:rsid w:val="003F1952"/>
    <w:rsid w:val="003F1CC9"/>
    <w:rsid w:val="003F2E4E"/>
    <w:rsid w:val="003F3EC0"/>
    <w:rsid w:val="003F509D"/>
    <w:rsid w:val="003F5AEA"/>
    <w:rsid w:val="003F5B65"/>
    <w:rsid w:val="003F5BCF"/>
    <w:rsid w:val="003F6169"/>
    <w:rsid w:val="003F682F"/>
    <w:rsid w:val="003F7533"/>
    <w:rsid w:val="003F759B"/>
    <w:rsid w:val="003F7657"/>
    <w:rsid w:val="003F7E20"/>
    <w:rsid w:val="0040029B"/>
    <w:rsid w:val="004006BA"/>
    <w:rsid w:val="00401215"/>
    <w:rsid w:val="004017A0"/>
    <w:rsid w:val="00402981"/>
    <w:rsid w:val="00402A3F"/>
    <w:rsid w:val="00402F47"/>
    <w:rsid w:val="004032A3"/>
    <w:rsid w:val="004033BF"/>
    <w:rsid w:val="004035C3"/>
    <w:rsid w:val="00403711"/>
    <w:rsid w:val="00403CF5"/>
    <w:rsid w:val="00403EAB"/>
    <w:rsid w:val="004056E0"/>
    <w:rsid w:val="004056E1"/>
    <w:rsid w:val="0040731F"/>
    <w:rsid w:val="00407A18"/>
    <w:rsid w:val="00411267"/>
    <w:rsid w:val="004117C8"/>
    <w:rsid w:val="0041233F"/>
    <w:rsid w:val="00412416"/>
    <w:rsid w:val="00412639"/>
    <w:rsid w:val="004127DD"/>
    <w:rsid w:val="00412E16"/>
    <w:rsid w:val="00413D68"/>
    <w:rsid w:val="00414974"/>
    <w:rsid w:val="0041586E"/>
    <w:rsid w:val="00416FE5"/>
    <w:rsid w:val="00417127"/>
    <w:rsid w:val="00417956"/>
    <w:rsid w:val="00417B58"/>
    <w:rsid w:val="00417B92"/>
    <w:rsid w:val="00420844"/>
    <w:rsid w:val="00420AD6"/>
    <w:rsid w:val="00421251"/>
    <w:rsid w:val="004214D0"/>
    <w:rsid w:val="0042176A"/>
    <w:rsid w:val="0042257D"/>
    <w:rsid w:val="00422F3B"/>
    <w:rsid w:val="00422FE7"/>
    <w:rsid w:val="004235A3"/>
    <w:rsid w:val="00423B43"/>
    <w:rsid w:val="00423F62"/>
    <w:rsid w:val="00424089"/>
    <w:rsid w:val="004244D2"/>
    <w:rsid w:val="00424967"/>
    <w:rsid w:val="00424AD3"/>
    <w:rsid w:val="00426294"/>
    <w:rsid w:val="00426A5A"/>
    <w:rsid w:val="00427EFC"/>
    <w:rsid w:val="0043004D"/>
    <w:rsid w:val="004307A5"/>
    <w:rsid w:val="00430FD4"/>
    <w:rsid w:val="004313C1"/>
    <w:rsid w:val="00431CF4"/>
    <w:rsid w:val="0043238B"/>
    <w:rsid w:val="004323B6"/>
    <w:rsid w:val="00432884"/>
    <w:rsid w:val="004332BA"/>
    <w:rsid w:val="004332BE"/>
    <w:rsid w:val="00434761"/>
    <w:rsid w:val="00434D51"/>
    <w:rsid w:val="004355F4"/>
    <w:rsid w:val="00435DAC"/>
    <w:rsid w:val="00436107"/>
    <w:rsid w:val="00436701"/>
    <w:rsid w:val="004405D0"/>
    <w:rsid w:val="004412AE"/>
    <w:rsid w:val="00441555"/>
    <w:rsid w:val="00441F3E"/>
    <w:rsid w:val="00442272"/>
    <w:rsid w:val="00442A39"/>
    <w:rsid w:val="00443DA5"/>
    <w:rsid w:val="00443F3B"/>
    <w:rsid w:val="00444997"/>
    <w:rsid w:val="00445636"/>
    <w:rsid w:val="00446208"/>
    <w:rsid w:val="004465D0"/>
    <w:rsid w:val="00446F71"/>
    <w:rsid w:val="00447147"/>
    <w:rsid w:val="00447AF0"/>
    <w:rsid w:val="004505CA"/>
    <w:rsid w:val="004506FA"/>
    <w:rsid w:val="00450B1F"/>
    <w:rsid w:val="00451AAC"/>
    <w:rsid w:val="00451BA3"/>
    <w:rsid w:val="0045249A"/>
    <w:rsid w:val="00452500"/>
    <w:rsid w:val="00455107"/>
    <w:rsid w:val="00455167"/>
    <w:rsid w:val="0045532A"/>
    <w:rsid w:val="004562FD"/>
    <w:rsid w:val="0045641B"/>
    <w:rsid w:val="00456A97"/>
    <w:rsid w:val="00457289"/>
    <w:rsid w:val="00457F8D"/>
    <w:rsid w:val="00460478"/>
    <w:rsid w:val="00460703"/>
    <w:rsid w:val="00460808"/>
    <w:rsid w:val="004616C2"/>
    <w:rsid w:val="004617DA"/>
    <w:rsid w:val="00461A6B"/>
    <w:rsid w:val="00461AA4"/>
    <w:rsid w:val="00462312"/>
    <w:rsid w:val="00462E79"/>
    <w:rsid w:val="0046561A"/>
    <w:rsid w:val="004659B7"/>
    <w:rsid w:val="00470266"/>
    <w:rsid w:val="00470A4F"/>
    <w:rsid w:val="00471089"/>
    <w:rsid w:val="00471B5A"/>
    <w:rsid w:val="004729E2"/>
    <w:rsid w:val="004737BA"/>
    <w:rsid w:val="00475C8B"/>
    <w:rsid w:val="00476720"/>
    <w:rsid w:val="004771C2"/>
    <w:rsid w:val="00477855"/>
    <w:rsid w:val="00477BC0"/>
    <w:rsid w:val="00477F16"/>
    <w:rsid w:val="00481677"/>
    <w:rsid w:val="004826D2"/>
    <w:rsid w:val="00482E17"/>
    <w:rsid w:val="00482FCB"/>
    <w:rsid w:val="0048340A"/>
    <w:rsid w:val="0048373F"/>
    <w:rsid w:val="0048402F"/>
    <w:rsid w:val="004859D2"/>
    <w:rsid w:val="00487172"/>
    <w:rsid w:val="00487196"/>
    <w:rsid w:val="00487403"/>
    <w:rsid w:val="00490358"/>
    <w:rsid w:val="00492113"/>
    <w:rsid w:val="004922E2"/>
    <w:rsid w:val="004934AC"/>
    <w:rsid w:val="004937C7"/>
    <w:rsid w:val="00493C2D"/>
    <w:rsid w:val="004944D2"/>
    <w:rsid w:val="0049507C"/>
    <w:rsid w:val="004966AE"/>
    <w:rsid w:val="00497913"/>
    <w:rsid w:val="00497F23"/>
    <w:rsid w:val="004A0F45"/>
    <w:rsid w:val="004A1A12"/>
    <w:rsid w:val="004A24FB"/>
    <w:rsid w:val="004A33DD"/>
    <w:rsid w:val="004A3C79"/>
    <w:rsid w:val="004A3DFE"/>
    <w:rsid w:val="004A5E99"/>
    <w:rsid w:val="004A645D"/>
    <w:rsid w:val="004A6530"/>
    <w:rsid w:val="004A7208"/>
    <w:rsid w:val="004B03A6"/>
    <w:rsid w:val="004B0A65"/>
    <w:rsid w:val="004B144F"/>
    <w:rsid w:val="004B1BDE"/>
    <w:rsid w:val="004B272D"/>
    <w:rsid w:val="004B2BBC"/>
    <w:rsid w:val="004B346F"/>
    <w:rsid w:val="004B5067"/>
    <w:rsid w:val="004B5C2C"/>
    <w:rsid w:val="004B6921"/>
    <w:rsid w:val="004B7C5A"/>
    <w:rsid w:val="004B7E43"/>
    <w:rsid w:val="004B7F10"/>
    <w:rsid w:val="004C092B"/>
    <w:rsid w:val="004C0B0C"/>
    <w:rsid w:val="004C0C85"/>
    <w:rsid w:val="004C0EDA"/>
    <w:rsid w:val="004C1107"/>
    <w:rsid w:val="004C119F"/>
    <w:rsid w:val="004C1802"/>
    <w:rsid w:val="004C1E6C"/>
    <w:rsid w:val="004C2B88"/>
    <w:rsid w:val="004C2F6F"/>
    <w:rsid w:val="004C3299"/>
    <w:rsid w:val="004C3B17"/>
    <w:rsid w:val="004C3C0C"/>
    <w:rsid w:val="004C58DE"/>
    <w:rsid w:val="004C5AF0"/>
    <w:rsid w:val="004C6B95"/>
    <w:rsid w:val="004C76F7"/>
    <w:rsid w:val="004D1934"/>
    <w:rsid w:val="004D29CA"/>
    <w:rsid w:val="004D33B3"/>
    <w:rsid w:val="004D3504"/>
    <w:rsid w:val="004D3A8A"/>
    <w:rsid w:val="004D3C26"/>
    <w:rsid w:val="004D3F27"/>
    <w:rsid w:val="004D445B"/>
    <w:rsid w:val="004D45F2"/>
    <w:rsid w:val="004D59CD"/>
    <w:rsid w:val="004D5B7B"/>
    <w:rsid w:val="004D6128"/>
    <w:rsid w:val="004E0527"/>
    <w:rsid w:val="004E072C"/>
    <w:rsid w:val="004E0E87"/>
    <w:rsid w:val="004E13F4"/>
    <w:rsid w:val="004E140A"/>
    <w:rsid w:val="004E17BC"/>
    <w:rsid w:val="004E1C1E"/>
    <w:rsid w:val="004E1E00"/>
    <w:rsid w:val="004E219C"/>
    <w:rsid w:val="004E3064"/>
    <w:rsid w:val="004E325C"/>
    <w:rsid w:val="004E3685"/>
    <w:rsid w:val="004E3AAB"/>
    <w:rsid w:val="004E3F64"/>
    <w:rsid w:val="004E4037"/>
    <w:rsid w:val="004E4069"/>
    <w:rsid w:val="004E431C"/>
    <w:rsid w:val="004E4CAE"/>
    <w:rsid w:val="004E5FF3"/>
    <w:rsid w:val="004E646A"/>
    <w:rsid w:val="004E706D"/>
    <w:rsid w:val="004E7E73"/>
    <w:rsid w:val="004F05AA"/>
    <w:rsid w:val="004F1218"/>
    <w:rsid w:val="004F14D6"/>
    <w:rsid w:val="004F178D"/>
    <w:rsid w:val="004F1A4E"/>
    <w:rsid w:val="004F22DB"/>
    <w:rsid w:val="004F397A"/>
    <w:rsid w:val="004F39BA"/>
    <w:rsid w:val="004F3D1E"/>
    <w:rsid w:val="004F3DC7"/>
    <w:rsid w:val="004F4209"/>
    <w:rsid w:val="004F7727"/>
    <w:rsid w:val="00500A26"/>
    <w:rsid w:val="00500AE7"/>
    <w:rsid w:val="00501003"/>
    <w:rsid w:val="00501241"/>
    <w:rsid w:val="00501595"/>
    <w:rsid w:val="00501D9E"/>
    <w:rsid w:val="00502B46"/>
    <w:rsid w:val="0050349A"/>
    <w:rsid w:val="00503577"/>
    <w:rsid w:val="005039FB"/>
    <w:rsid w:val="00504421"/>
    <w:rsid w:val="00506032"/>
    <w:rsid w:val="00507470"/>
    <w:rsid w:val="005076A9"/>
    <w:rsid w:val="005129F1"/>
    <w:rsid w:val="00512EA5"/>
    <w:rsid w:val="00513053"/>
    <w:rsid w:val="0051383A"/>
    <w:rsid w:val="0051389A"/>
    <w:rsid w:val="00513BEC"/>
    <w:rsid w:val="00513E14"/>
    <w:rsid w:val="00513F03"/>
    <w:rsid w:val="0051400A"/>
    <w:rsid w:val="0051476C"/>
    <w:rsid w:val="005162DD"/>
    <w:rsid w:val="00516BE3"/>
    <w:rsid w:val="0051722E"/>
    <w:rsid w:val="00517712"/>
    <w:rsid w:val="00517AF1"/>
    <w:rsid w:val="00521692"/>
    <w:rsid w:val="00521929"/>
    <w:rsid w:val="0052192A"/>
    <w:rsid w:val="00521A98"/>
    <w:rsid w:val="00521AF9"/>
    <w:rsid w:val="00521D54"/>
    <w:rsid w:val="00522EDB"/>
    <w:rsid w:val="005236A5"/>
    <w:rsid w:val="00523CF5"/>
    <w:rsid w:val="00524026"/>
    <w:rsid w:val="00524802"/>
    <w:rsid w:val="00525BA1"/>
    <w:rsid w:val="00525F12"/>
    <w:rsid w:val="005265E9"/>
    <w:rsid w:val="00526D96"/>
    <w:rsid w:val="00526FC9"/>
    <w:rsid w:val="0052785F"/>
    <w:rsid w:val="00527B14"/>
    <w:rsid w:val="00527C6A"/>
    <w:rsid w:val="00530608"/>
    <w:rsid w:val="005317A2"/>
    <w:rsid w:val="00531C29"/>
    <w:rsid w:val="0053291D"/>
    <w:rsid w:val="005333A2"/>
    <w:rsid w:val="0053510A"/>
    <w:rsid w:val="005367D3"/>
    <w:rsid w:val="0053770F"/>
    <w:rsid w:val="0053788C"/>
    <w:rsid w:val="0054006F"/>
    <w:rsid w:val="00540C40"/>
    <w:rsid w:val="00541278"/>
    <w:rsid w:val="00541775"/>
    <w:rsid w:val="005421AC"/>
    <w:rsid w:val="005422DD"/>
    <w:rsid w:val="0054301F"/>
    <w:rsid w:val="00543455"/>
    <w:rsid w:val="0054350B"/>
    <w:rsid w:val="00543754"/>
    <w:rsid w:val="005442A3"/>
    <w:rsid w:val="00545619"/>
    <w:rsid w:val="00545984"/>
    <w:rsid w:val="00547E50"/>
    <w:rsid w:val="00550207"/>
    <w:rsid w:val="005503A8"/>
    <w:rsid w:val="00550515"/>
    <w:rsid w:val="00551BB6"/>
    <w:rsid w:val="00552D23"/>
    <w:rsid w:val="00552F19"/>
    <w:rsid w:val="00553332"/>
    <w:rsid w:val="00553B9A"/>
    <w:rsid w:val="0055481B"/>
    <w:rsid w:val="00555001"/>
    <w:rsid w:val="00555495"/>
    <w:rsid w:val="005556DD"/>
    <w:rsid w:val="005557DF"/>
    <w:rsid w:val="00557235"/>
    <w:rsid w:val="00560418"/>
    <w:rsid w:val="00560A30"/>
    <w:rsid w:val="00560BC5"/>
    <w:rsid w:val="00560CC8"/>
    <w:rsid w:val="00561928"/>
    <w:rsid w:val="00561A88"/>
    <w:rsid w:val="00562734"/>
    <w:rsid w:val="00562A85"/>
    <w:rsid w:val="005632FF"/>
    <w:rsid w:val="005647A6"/>
    <w:rsid w:val="00564C3E"/>
    <w:rsid w:val="00565146"/>
    <w:rsid w:val="00565892"/>
    <w:rsid w:val="005661B8"/>
    <w:rsid w:val="005661D1"/>
    <w:rsid w:val="00566885"/>
    <w:rsid w:val="00567902"/>
    <w:rsid w:val="005679DB"/>
    <w:rsid w:val="005704AA"/>
    <w:rsid w:val="00570549"/>
    <w:rsid w:val="00570FC4"/>
    <w:rsid w:val="005712C5"/>
    <w:rsid w:val="005713F9"/>
    <w:rsid w:val="0057140A"/>
    <w:rsid w:val="00571AE7"/>
    <w:rsid w:val="005731C0"/>
    <w:rsid w:val="00573EB2"/>
    <w:rsid w:val="00574440"/>
    <w:rsid w:val="00575704"/>
    <w:rsid w:val="00576698"/>
    <w:rsid w:val="0057690A"/>
    <w:rsid w:val="00576A0F"/>
    <w:rsid w:val="0057775E"/>
    <w:rsid w:val="00580099"/>
    <w:rsid w:val="00580838"/>
    <w:rsid w:val="005816E5"/>
    <w:rsid w:val="00581DFF"/>
    <w:rsid w:val="00581FD5"/>
    <w:rsid w:val="00582BCA"/>
    <w:rsid w:val="005830F2"/>
    <w:rsid w:val="00584A22"/>
    <w:rsid w:val="0058545C"/>
    <w:rsid w:val="005856CB"/>
    <w:rsid w:val="00585C4B"/>
    <w:rsid w:val="005862B8"/>
    <w:rsid w:val="00586AF3"/>
    <w:rsid w:val="00587E19"/>
    <w:rsid w:val="00587F5D"/>
    <w:rsid w:val="0059039C"/>
    <w:rsid w:val="0059052E"/>
    <w:rsid w:val="00591EC4"/>
    <w:rsid w:val="005920C5"/>
    <w:rsid w:val="005921E6"/>
    <w:rsid w:val="00592CAE"/>
    <w:rsid w:val="0059446F"/>
    <w:rsid w:val="0059476C"/>
    <w:rsid w:val="00594BB9"/>
    <w:rsid w:val="0059506C"/>
    <w:rsid w:val="00595D69"/>
    <w:rsid w:val="00596045"/>
    <w:rsid w:val="00596063"/>
    <w:rsid w:val="0059695C"/>
    <w:rsid w:val="005976A5"/>
    <w:rsid w:val="00597E90"/>
    <w:rsid w:val="005A05C8"/>
    <w:rsid w:val="005A0696"/>
    <w:rsid w:val="005A08F9"/>
    <w:rsid w:val="005A0E77"/>
    <w:rsid w:val="005A1339"/>
    <w:rsid w:val="005A1F5E"/>
    <w:rsid w:val="005A1F8A"/>
    <w:rsid w:val="005A2A75"/>
    <w:rsid w:val="005A2BC3"/>
    <w:rsid w:val="005A2DF4"/>
    <w:rsid w:val="005A2E32"/>
    <w:rsid w:val="005A3163"/>
    <w:rsid w:val="005A3521"/>
    <w:rsid w:val="005A3FE1"/>
    <w:rsid w:val="005A43E3"/>
    <w:rsid w:val="005A4610"/>
    <w:rsid w:val="005A5566"/>
    <w:rsid w:val="005A5B91"/>
    <w:rsid w:val="005A5BC8"/>
    <w:rsid w:val="005A7035"/>
    <w:rsid w:val="005B03D4"/>
    <w:rsid w:val="005B09FF"/>
    <w:rsid w:val="005B1378"/>
    <w:rsid w:val="005B1D38"/>
    <w:rsid w:val="005B318D"/>
    <w:rsid w:val="005B4087"/>
    <w:rsid w:val="005B42B2"/>
    <w:rsid w:val="005B446C"/>
    <w:rsid w:val="005B4BE3"/>
    <w:rsid w:val="005B4EDF"/>
    <w:rsid w:val="005B590E"/>
    <w:rsid w:val="005B6707"/>
    <w:rsid w:val="005B695F"/>
    <w:rsid w:val="005B6AEA"/>
    <w:rsid w:val="005B6BD3"/>
    <w:rsid w:val="005B7139"/>
    <w:rsid w:val="005C00D7"/>
    <w:rsid w:val="005C02D6"/>
    <w:rsid w:val="005C329E"/>
    <w:rsid w:val="005C3538"/>
    <w:rsid w:val="005C43FD"/>
    <w:rsid w:val="005C5207"/>
    <w:rsid w:val="005C526C"/>
    <w:rsid w:val="005C77E2"/>
    <w:rsid w:val="005C7CE0"/>
    <w:rsid w:val="005D09D1"/>
    <w:rsid w:val="005D1BBE"/>
    <w:rsid w:val="005D20F0"/>
    <w:rsid w:val="005D369F"/>
    <w:rsid w:val="005D374B"/>
    <w:rsid w:val="005D4BBE"/>
    <w:rsid w:val="005D5262"/>
    <w:rsid w:val="005D5878"/>
    <w:rsid w:val="005D5B88"/>
    <w:rsid w:val="005D6D33"/>
    <w:rsid w:val="005D7DB7"/>
    <w:rsid w:val="005E0205"/>
    <w:rsid w:val="005E0549"/>
    <w:rsid w:val="005E066F"/>
    <w:rsid w:val="005E0784"/>
    <w:rsid w:val="005E0930"/>
    <w:rsid w:val="005E11E6"/>
    <w:rsid w:val="005E16B3"/>
    <w:rsid w:val="005E1C82"/>
    <w:rsid w:val="005E1E2C"/>
    <w:rsid w:val="005E1FEE"/>
    <w:rsid w:val="005E2224"/>
    <w:rsid w:val="005E3B2B"/>
    <w:rsid w:val="005E5B1E"/>
    <w:rsid w:val="005E5CAB"/>
    <w:rsid w:val="005E7016"/>
    <w:rsid w:val="005F0587"/>
    <w:rsid w:val="005F0903"/>
    <w:rsid w:val="005F0958"/>
    <w:rsid w:val="005F132A"/>
    <w:rsid w:val="005F13DD"/>
    <w:rsid w:val="005F1929"/>
    <w:rsid w:val="005F2A4E"/>
    <w:rsid w:val="005F2F26"/>
    <w:rsid w:val="005F342E"/>
    <w:rsid w:val="005F352A"/>
    <w:rsid w:val="005F416E"/>
    <w:rsid w:val="005F468D"/>
    <w:rsid w:val="005F649F"/>
    <w:rsid w:val="005F689B"/>
    <w:rsid w:val="005F7340"/>
    <w:rsid w:val="005F7EA1"/>
    <w:rsid w:val="00600820"/>
    <w:rsid w:val="006010BD"/>
    <w:rsid w:val="00602B93"/>
    <w:rsid w:val="00602DB6"/>
    <w:rsid w:val="0060342F"/>
    <w:rsid w:val="0060382C"/>
    <w:rsid w:val="00603A82"/>
    <w:rsid w:val="00603AC6"/>
    <w:rsid w:val="00603C28"/>
    <w:rsid w:val="006045D1"/>
    <w:rsid w:val="00605366"/>
    <w:rsid w:val="006053A3"/>
    <w:rsid w:val="00605655"/>
    <w:rsid w:val="006057A8"/>
    <w:rsid w:val="006069C5"/>
    <w:rsid w:val="00607903"/>
    <w:rsid w:val="00607A7E"/>
    <w:rsid w:val="00610817"/>
    <w:rsid w:val="006119F0"/>
    <w:rsid w:val="0061208C"/>
    <w:rsid w:val="00613152"/>
    <w:rsid w:val="006149BD"/>
    <w:rsid w:val="00614BC2"/>
    <w:rsid w:val="00614F50"/>
    <w:rsid w:val="0061597B"/>
    <w:rsid w:val="00615C92"/>
    <w:rsid w:val="00616496"/>
    <w:rsid w:val="00617081"/>
    <w:rsid w:val="006173A5"/>
    <w:rsid w:val="006200F6"/>
    <w:rsid w:val="00621568"/>
    <w:rsid w:val="00621CDF"/>
    <w:rsid w:val="00621D01"/>
    <w:rsid w:val="00622D8B"/>
    <w:rsid w:val="00622F38"/>
    <w:rsid w:val="006230FE"/>
    <w:rsid w:val="006239C0"/>
    <w:rsid w:val="00623A85"/>
    <w:rsid w:val="006247B7"/>
    <w:rsid w:val="00624A5A"/>
    <w:rsid w:val="006255A2"/>
    <w:rsid w:val="00625F8D"/>
    <w:rsid w:val="006273EB"/>
    <w:rsid w:val="00627599"/>
    <w:rsid w:val="006300E4"/>
    <w:rsid w:val="00632171"/>
    <w:rsid w:val="0063257B"/>
    <w:rsid w:val="006325EB"/>
    <w:rsid w:val="006337D8"/>
    <w:rsid w:val="006342E9"/>
    <w:rsid w:val="00634D38"/>
    <w:rsid w:val="006355B0"/>
    <w:rsid w:val="00635E36"/>
    <w:rsid w:val="00640C55"/>
    <w:rsid w:val="0064106A"/>
    <w:rsid w:val="00642140"/>
    <w:rsid w:val="00643410"/>
    <w:rsid w:val="0064393F"/>
    <w:rsid w:val="0064488A"/>
    <w:rsid w:val="00644B70"/>
    <w:rsid w:val="006457AA"/>
    <w:rsid w:val="00645969"/>
    <w:rsid w:val="00646405"/>
    <w:rsid w:val="00646CDA"/>
    <w:rsid w:val="00647249"/>
    <w:rsid w:val="006473F1"/>
    <w:rsid w:val="006475A5"/>
    <w:rsid w:val="006476A5"/>
    <w:rsid w:val="00647A71"/>
    <w:rsid w:val="00651C11"/>
    <w:rsid w:val="00653733"/>
    <w:rsid w:val="00654CC4"/>
    <w:rsid w:val="006560EC"/>
    <w:rsid w:val="0065691E"/>
    <w:rsid w:val="00656F37"/>
    <w:rsid w:val="00657A31"/>
    <w:rsid w:val="006601DD"/>
    <w:rsid w:val="00660AAF"/>
    <w:rsid w:val="00660E59"/>
    <w:rsid w:val="006619DF"/>
    <w:rsid w:val="00663AD3"/>
    <w:rsid w:val="0066403E"/>
    <w:rsid w:val="006640FC"/>
    <w:rsid w:val="006645D8"/>
    <w:rsid w:val="00664B85"/>
    <w:rsid w:val="006658F9"/>
    <w:rsid w:val="00666353"/>
    <w:rsid w:val="006664DA"/>
    <w:rsid w:val="006667DA"/>
    <w:rsid w:val="0066687B"/>
    <w:rsid w:val="00666A2B"/>
    <w:rsid w:val="00666E92"/>
    <w:rsid w:val="00666F2D"/>
    <w:rsid w:val="00667B79"/>
    <w:rsid w:val="0067045D"/>
    <w:rsid w:val="00671359"/>
    <w:rsid w:val="00672438"/>
    <w:rsid w:val="00672AB8"/>
    <w:rsid w:val="00672BCF"/>
    <w:rsid w:val="00672E5C"/>
    <w:rsid w:val="00672EB8"/>
    <w:rsid w:val="00673439"/>
    <w:rsid w:val="006738D9"/>
    <w:rsid w:val="006739DA"/>
    <w:rsid w:val="006741E5"/>
    <w:rsid w:val="0067528B"/>
    <w:rsid w:val="00675EAB"/>
    <w:rsid w:val="00676686"/>
    <w:rsid w:val="006771F8"/>
    <w:rsid w:val="006808ED"/>
    <w:rsid w:val="00681C80"/>
    <w:rsid w:val="00682983"/>
    <w:rsid w:val="00682D64"/>
    <w:rsid w:val="00683DD5"/>
    <w:rsid w:val="00683F02"/>
    <w:rsid w:val="00684455"/>
    <w:rsid w:val="00684F98"/>
    <w:rsid w:val="0068510F"/>
    <w:rsid w:val="0068554D"/>
    <w:rsid w:val="006858F6"/>
    <w:rsid w:val="0068618A"/>
    <w:rsid w:val="0068667E"/>
    <w:rsid w:val="00686B39"/>
    <w:rsid w:val="00690DAC"/>
    <w:rsid w:val="00691701"/>
    <w:rsid w:val="00691798"/>
    <w:rsid w:val="00692F0D"/>
    <w:rsid w:val="00693779"/>
    <w:rsid w:val="00693F4D"/>
    <w:rsid w:val="00693FD5"/>
    <w:rsid w:val="006941DF"/>
    <w:rsid w:val="00694318"/>
    <w:rsid w:val="0069454E"/>
    <w:rsid w:val="00694612"/>
    <w:rsid w:val="00694C79"/>
    <w:rsid w:val="0069511E"/>
    <w:rsid w:val="00695355"/>
    <w:rsid w:val="00696C40"/>
    <w:rsid w:val="00697482"/>
    <w:rsid w:val="00697CC1"/>
    <w:rsid w:val="006A1675"/>
    <w:rsid w:val="006A22B5"/>
    <w:rsid w:val="006A2799"/>
    <w:rsid w:val="006A2FDE"/>
    <w:rsid w:val="006A4D53"/>
    <w:rsid w:val="006A6123"/>
    <w:rsid w:val="006A6DEE"/>
    <w:rsid w:val="006B058E"/>
    <w:rsid w:val="006B0AD5"/>
    <w:rsid w:val="006B1694"/>
    <w:rsid w:val="006B1807"/>
    <w:rsid w:val="006B19B7"/>
    <w:rsid w:val="006B1C1A"/>
    <w:rsid w:val="006B1D51"/>
    <w:rsid w:val="006B24C1"/>
    <w:rsid w:val="006B4B69"/>
    <w:rsid w:val="006B4E11"/>
    <w:rsid w:val="006B5495"/>
    <w:rsid w:val="006B61F1"/>
    <w:rsid w:val="006B7DE7"/>
    <w:rsid w:val="006C04DB"/>
    <w:rsid w:val="006C0C89"/>
    <w:rsid w:val="006C11F4"/>
    <w:rsid w:val="006C2B67"/>
    <w:rsid w:val="006C4C6D"/>
    <w:rsid w:val="006C4F40"/>
    <w:rsid w:val="006C568C"/>
    <w:rsid w:val="006C5919"/>
    <w:rsid w:val="006C71CE"/>
    <w:rsid w:val="006C7862"/>
    <w:rsid w:val="006D0095"/>
    <w:rsid w:val="006D0C9F"/>
    <w:rsid w:val="006D1745"/>
    <w:rsid w:val="006D220B"/>
    <w:rsid w:val="006D2D50"/>
    <w:rsid w:val="006D55DC"/>
    <w:rsid w:val="006D6382"/>
    <w:rsid w:val="006D79CA"/>
    <w:rsid w:val="006E1082"/>
    <w:rsid w:val="006E194F"/>
    <w:rsid w:val="006E1A96"/>
    <w:rsid w:val="006E3195"/>
    <w:rsid w:val="006E45C9"/>
    <w:rsid w:val="006E4AA3"/>
    <w:rsid w:val="006E56A5"/>
    <w:rsid w:val="006E5CA6"/>
    <w:rsid w:val="006E6095"/>
    <w:rsid w:val="006E64A8"/>
    <w:rsid w:val="006E73A7"/>
    <w:rsid w:val="006E7727"/>
    <w:rsid w:val="006F02FD"/>
    <w:rsid w:val="006F0915"/>
    <w:rsid w:val="006F1555"/>
    <w:rsid w:val="006F3445"/>
    <w:rsid w:val="006F37AE"/>
    <w:rsid w:val="006F421D"/>
    <w:rsid w:val="006F4647"/>
    <w:rsid w:val="006F48C2"/>
    <w:rsid w:val="006F5D60"/>
    <w:rsid w:val="006F5D70"/>
    <w:rsid w:val="006F5F23"/>
    <w:rsid w:val="006F602E"/>
    <w:rsid w:val="006F633A"/>
    <w:rsid w:val="006F6F60"/>
    <w:rsid w:val="006F7655"/>
    <w:rsid w:val="00700B7E"/>
    <w:rsid w:val="00700E24"/>
    <w:rsid w:val="00701441"/>
    <w:rsid w:val="00701B6E"/>
    <w:rsid w:val="00702CE3"/>
    <w:rsid w:val="00703715"/>
    <w:rsid w:val="00703786"/>
    <w:rsid w:val="00703A3D"/>
    <w:rsid w:val="00704AAA"/>
    <w:rsid w:val="00705912"/>
    <w:rsid w:val="0070689C"/>
    <w:rsid w:val="00706D96"/>
    <w:rsid w:val="00707B42"/>
    <w:rsid w:val="00707C44"/>
    <w:rsid w:val="007121FC"/>
    <w:rsid w:val="00712608"/>
    <w:rsid w:val="00713A07"/>
    <w:rsid w:val="00713F00"/>
    <w:rsid w:val="00714AA3"/>
    <w:rsid w:val="007160F2"/>
    <w:rsid w:val="007165CB"/>
    <w:rsid w:val="007167C7"/>
    <w:rsid w:val="0071784C"/>
    <w:rsid w:val="007178B7"/>
    <w:rsid w:val="00720165"/>
    <w:rsid w:val="00720FDB"/>
    <w:rsid w:val="00721979"/>
    <w:rsid w:val="00721BE8"/>
    <w:rsid w:val="00722C9C"/>
    <w:rsid w:val="00722D9D"/>
    <w:rsid w:val="0072360A"/>
    <w:rsid w:val="00725336"/>
    <w:rsid w:val="007262C2"/>
    <w:rsid w:val="00726F56"/>
    <w:rsid w:val="007275FF"/>
    <w:rsid w:val="00727A21"/>
    <w:rsid w:val="00727F00"/>
    <w:rsid w:val="00730CDC"/>
    <w:rsid w:val="00730D93"/>
    <w:rsid w:val="0073195A"/>
    <w:rsid w:val="00731974"/>
    <w:rsid w:val="00731ED9"/>
    <w:rsid w:val="007330DE"/>
    <w:rsid w:val="007333C7"/>
    <w:rsid w:val="00733BCA"/>
    <w:rsid w:val="00733BD9"/>
    <w:rsid w:val="007347EF"/>
    <w:rsid w:val="007349F4"/>
    <w:rsid w:val="00735960"/>
    <w:rsid w:val="00735AC1"/>
    <w:rsid w:val="007368A8"/>
    <w:rsid w:val="00736991"/>
    <w:rsid w:val="00736FB3"/>
    <w:rsid w:val="0073792B"/>
    <w:rsid w:val="007400CA"/>
    <w:rsid w:val="00740F5A"/>
    <w:rsid w:val="007412F9"/>
    <w:rsid w:val="00741A52"/>
    <w:rsid w:val="00741C46"/>
    <w:rsid w:val="00741CF7"/>
    <w:rsid w:val="00743207"/>
    <w:rsid w:val="00744694"/>
    <w:rsid w:val="00744D18"/>
    <w:rsid w:val="00745D78"/>
    <w:rsid w:val="007467C6"/>
    <w:rsid w:val="00746BF5"/>
    <w:rsid w:val="00747346"/>
    <w:rsid w:val="0075023A"/>
    <w:rsid w:val="0075108D"/>
    <w:rsid w:val="0075141B"/>
    <w:rsid w:val="00751FC9"/>
    <w:rsid w:val="007523FC"/>
    <w:rsid w:val="00752597"/>
    <w:rsid w:val="00753C60"/>
    <w:rsid w:val="007545A8"/>
    <w:rsid w:val="007546D9"/>
    <w:rsid w:val="0075479E"/>
    <w:rsid w:val="00754AC8"/>
    <w:rsid w:val="00755944"/>
    <w:rsid w:val="00756150"/>
    <w:rsid w:val="007600E0"/>
    <w:rsid w:val="00760A83"/>
    <w:rsid w:val="0076127E"/>
    <w:rsid w:val="0076135E"/>
    <w:rsid w:val="0076146D"/>
    <w:rsid w:val="00761A33"/>
    <w:rsid w:val="00761C87"/>
    <w:rsid w:val="00761F35"/>
    <w:rsid w:val="007624F8"/>
    <w:rsid w:val="00763836"/>
    <w:rsid w:val="00763BD9"/>
    <w:rsid w:val="00763C49"/>
    <w:rsid w:val="007658A2"/>
    <w:rsid w:val="00765F3D"/>
    <w:rsid w:val="00770736"/>
    <w:rsid w:val="00770747"/>
    <w:rsid w:val="007716F6"/>
    <w:rsid w:val="00771C6E"/>
    <w:rsid w:val="00771C97"/>
    <w:rsid w:val="0077223A"/>
    <w:rsid w:val="007724A3"/>
    <w:rsid w:val="00772899"/>
    <w:rsid w:val="007729F5"/>
    <w:rsid w:val="00772D0B"/>
    <w:rsid w:val="00772FF2"/>
    <w:rsid w:val="00773175"/>
    <w:rsid w:val="00774987"/>
    <w:rsid w:val="00774FAE"/>
    <w:rsid w:val="00776144"/>
    <w:rsid w:val="007762CF"/>
    <w:rsid w:val="007770C2"/>
    <w:rsid w:val="007805AF"/>
    <w:rsid w:val="00781ADC"/>
    <w:rsid w:val="00782B08"/>
    <w:rsid w:val="00783753"/>
    <w:rsid w:val="007848EC"/>
    <w:rsid w:val="00786306"/>
    <w:rsid w:val="00786354"/>
    <w:rsid w:val="007863ED"/>
    <w:rsid w:val="0078762D"/>
    <w:rsid w:val="00787957"/>
    <w:rsid w:val="00787CAC"/>
    <w:rsid w:val="00790624"/>
    <w:rsid w:val="00790E1C"/>
    <w:rsid w:val="007917EE"/>
    <w:rsid w:val="007920A4"/>
    <w:rsid w:val="00793F68"/>
    <w:rsid w:val="00794A16"/>
    <w:rsid w:val="007951AC"/>
    <w:rsid w:val="007970CA"/>
    <w:rsid w:val="00797760"/>
    <w:rsid w:val="00797B03"/>
    <w:rsid w:val="00797ECC"/>
    <w:rsid w:val="007A05EA"/>
    <w:rsid w:val="007A0F82"/>
    <w:rsid w:val="007A277F"/>
    <w:rsid w:val="007A2A0D"/>
    <w:rsid w:val="007A2BDA"/>
    <w:rsid w:val="007A2F0E"/>
    <w:rsid w:val="007A434F"/>
    <w:rsid w:val="007A5D84"/>
    <w:rsid w:val="007A63E9"/>
    <w:rsid w:val="007A645A"/>
    <w:rsid w:val="007A67FD"/>
    <w:rsid w:val="007A69A0"/>
    <w:rsid w:val="007A746C"/>
    <w:rsid w:val="007A7795"/>
    <w:rsid w:val="007A7C82"/>
    <w:rsid w:val="007A7D88"/>
    <w:rsid w:val="007B051E"/>
    <w:rsid w:val="007B077C"/>
    <w:rsid w:val="007B0C4B"/>
    <w:rsid w:val="007B152D"/>
    <w:rsid w:val="007B27DE"/>
    <w:rsid w:val="007B2B34"/>
    <w:rsid w:val="007B398F"/>
    <w:rsid w:val="007B46E9"/>
    <w:rsid w:val="007B4848"/>
    <w:rsid w:val="007B5C34"/>
    <w:rsid w:val="007B627D"/>
    <w:rsid w:val="007B672B"/>
    <w:rsid w:val="007B7985"/>
    <w:rsid w:val="007C08CA"/>
    <w:rsid w:val="007C09D3"/>
    <w:rsid w:val="007C1688"/>
    <w:rsid w:val="007C1995"/>
    <w:rsid w:val="007C4A42"/>
    <w:rsid w:val="007C4A9A"/>
    <w:rsid w:val="007C4F8F"/>
    <w:rsid w:val="007C5795"/>
    <w:rsid w:val="007C5876"/>
    <w:rsid w:val="007C6457"/>
    <w:rsid w:val="007C776D"/>
    <w:rsid w:val="007C7E87"/>
    <w:rsid w:val="007D0019"/>
    <w:rsid w:val="007D03AE"/>
    <w:rsid w:val="007D15A9"/>
    <w:rsid w:val="007D1AE6"/>
    <w:rsid w:val="007D1E12"/>
    <w:rsid w:val="007D3076"/>
    <w:rsid w:val="007D3715"/>
    <w:rsid w:val="007D42C3"/>
    <w:rsid w:val="007D4A88"/>
    <w:rsid w:val="007D518F"/>
    <w:rsid w:val="007D53C3"/>
    <w:rsid w:val="007D5436"/>
    <w:rsid w:val="007D663C"/>
    <w:rsid w:val="007D68BD"/>
    <w:rsid w:val="007D6A0B"/>
    <w:rsid w:val="007D7A28"/>
    <w:rsid w:val="007D7FB9"/>
    <w:rsid w:val="007E0346"/>
    <w:rsid w:val="007E09A6"/>
    <w:rsid w:val="007E0A0D"/>
    <w:rsid w:val="007E1C55"/>
    <w:rsid w:val="007E1ED8"/>
    <w:rsid w:val="007E2618"/>
    <w:rsid w:val="007E29CB"/>
    <w:rsid w:val="007E5723"/>
    <w:rsid w:val="007E6114"/>
    <w:rsid w:val="007E7306"/>
    <w:rsid w:val="007E7F39"/>
    <w:rsid w:val="007F1213"/>
    <w:rsid w:val="007F1421"/>
    <w:rsid w:val="007F168B"/>
    <w:rsid w:val="007F1AA0"/>
    <w:rsid w:val="007F1B86"/>
    <w:rsid w:val="007F1C7A"/>
    <w:rsid w:val="007F1DB9"/>
    <w:rsid w:val="007F27E2"/>
    <w:rsid w:val="007F2ABC"/>
    <w:rsid w:val="007F3B95"/>
    <w:rsid w:val="007F3D40"/>
    <w:rsid w:val="007F40F0"/>
    <w:rsid w:val="007F411B"/>
    <w:rsid w:val="007F4A0B"/>
    <w:rsid w:val="007F4D0B"/>
    <w:rsid w:val="007F50FD"/>
    <w:rsid w:val="007F5CF3"/>
    <w:rsid w:val="007F7E74"/>
    <w:rsid w:val="00800E20"/>
    <w:rsid w:val="00801372"/>
    <w:rsid w:val="008026C7"/>
    <w:rsid w:val="008026E2"/>
    <w:rsid w:val="00803344"/>
    <w:rsid w:val="008033CB"/>
    <w:rsid w:val="00803418"/>
    <w:rsid w:val="0080342D"/>
    <w:rsid w:val="0080370E"/>
    <w:rsid w:val="008039EA"/>
    <w:rsid w:val="00804028"/>
    <w:rsid w:val="008051BA"/>
    <w:rsid w:val="0080614F"/>
    <w:rsid w:val="008062ED"/>
    <w:rsid w:val="00807BFF"/>
    <w:rsid w:val="00807F71"/>
    <w:rsid w:val="00810240"/>
    <w:rsid w:val="00810972"/>
    <w:rsid w:val="00810ABB"/>
    <w:rsid w:val="0081159F"/>
    <w:rsid w:val="008130A4"/>
    <w:rsid w:val="008131F0"/>
    <w:rsid w:val="008136BA"/>
    <w:rsid w:val="0081460A"/>
    <w:rsid w:val="00815C66"/>
    <w:rsid w:val="00816386"/>
    <w:rsid w:val="0081697F"/>
    <w:rsid w:val="0081733C"/>
    <w:rsid w:val="00817C5C"/>
    <w:rsid w:val="00817E8A"/>
    <w:rsid w:val="008219DC"/>
    <w:rsid w:val="00821ED4"/>
    <w:rsid w:val="008227BF"/>
    <w:rsid w:val="008230D6"/>
    <w:rsid w:val="00823209"/>
    <w:rsid w:val="0082454D"/>
    <w:rsid w:val="00825D23"/>
    <w:rsid w:val="008262C0"/>
    <w:rsid w:val="0082675E"/>
    <w:rsid w:val="00826B89"/>
    <w:rsid w:val="00827841"/>
    <w:rsid w:val="00827B3A"/>
    <w:rsid w:val="00830674"/>
    <w:rsid w:val="00830938"/>
    <w:rsid w:val="00832684"/>
    <w:rsid w:val="00833696"/>
    <w:rsid w:val="00834207"/>
    <w:rsid w:val="00834245"/>
    <w:rsid w:val="0083426A"/>
    <w:rsid w:val="00834ACE"/>
    <w:rsid w:val="0083528A"/>
    <w:rsid w:val="008358CE"/>
    <w:rsid w:val="008358FB"/>
    <w:rsid w:val="00835E2A"/>
    <w:rsid w:val="0083608E"/>
    <w:rsid w:val="00836104"/>
    <w:rsid w:val="008406F5"/>
    <w:rsid w:val="00840E58"/>
    <w:rsid w:val="0084106D"/>
    <w:rsid w:val="00841DD2"/>
    <w:rsid w:val="00842AF2"/>
    <w:rsid w:val="008434F2"/>
    <w:rsid w:val="0084394E"/>
    <w:rsid w:val="00843EF1"/>
    <w:rsid w:val="008441E3"/>
    <w:rsid w:val="0084499F"/>
    <w:rsid w:val="0084521C"/>
    <w:rsid w:val="00846A47"/>
    <w:rsid w:val="00846D82"/>
    <w:rsid w:val="008508CF"/>
    <w:rsid w:val="00850B7A"/>
    <w:rsid w:val="00851685"/>
    <w:rsid w:val="0085330E"/>
    <w:rsid w:val="008538A2"/>
    <w:rsid w:val="00853D9C"/>
    <w:rsid w:val="00854B5E"/>
    <w:rsid w:val="008559E5"/>
    <w:rsid w:val="008559F9"/>
    <w:rsid w:val="00855DC5"/>
    <w:rsid w:val="00856816"/>
    <w:rsid w:val="00856826"/>
    <w:rsid w:val="00856FD9"/>
    <w:rsid w:val="00860BD4"/>
    <w:rsid w:val="00860F7C"/>
    <w:rsid w:val="00861044"/>
    <w:rsid w:val="00861246"/>
    <w:rsid w:val="00862391"/>
    <w:rsid w:val="00862E16"/>
    <w:rsid w:val="00863142"/>
    <w:rsid w:val="00863570"/>
    <w:rsid w:val="00863B2C"/>
    <w:rsid w:val="00865290"/>
    <w:rsid w:val="00865EBD"/>
    <w:rsid w:val="008675A9"/>
    <w:rsid w:val="008679AD"/>
    <w:rsid w:val="00870689"/>
    <w:rsid w:val="008711DB"/>
    <w:rsid w:val="00871D3C"/>
    <w:rsid w:val="00872302"/>
    <w:rsid w:val="00872C4C"/>
    <w:rsid w:val="00872C9E"/>
    <w:rsid w:val="008732F4"/>
    <w:rsid w:val="00873316"/>
    <w:rsid w:val="008739E0"/>
    <w:rsid w:val="00874CA0"/>
    <w:rsid w:val="00875753"/>
    <w:rsid w:val="00880629"/>
    <w:rsid w:val="00880812"/>
    <w:rsid w:val="00880944"/>
    <w:rsid w:val="00880DA5"/>
    <w:rsid w:val="0088160B"/>
    <w:rsid w:val="00881738"/>
    <w:rsid w:val="008818A9"/>
    <w:rsid w:val="00881D7C"/>
    <w:rsid w:val="008822C3"/>
    <w:rsid w:val="0088378D"/>
    <w:rsid w:val="00887015"/>
    <w:rsid w:val="00887039"/>
    <w:rsid w:val="008878F2"/>
    <w:rsid w:val="008900F9"/>
    <w:rsid w:val="00890D52"/>
    <w:rsid w:val="00891281"/>
    <w:rsid w:val="00891DCC"/>
    <w:rsid w:val="00891E39"/>
    <w:rsid w:val="008922D1"/>
    <w:rsid w:val="00892878"/>
    <w:rsid w:val="008928F3"/>
    <w:rsid w:val="00892C37"/>
    <w:rsid w:val="00894F9B"/>
    <w:rsid w:val="008956F1"/>
    <w:rsid w:val="00895DFF"/>
    <w:rsid w:val="0089620A"/>
    <w:rsid w:val="00896E47"/>
    <w:rsid w:val="00897147"/>
    <w:rsid w:val="008A04B7"/>
    <w:rsid w:val="008A2A3D"/>
    <w:rsid w:val="008A2AF6"/>
    <w:rsid w:val="008A360D"/>
    <w:rsid w:val="008A6170"/>
    <w:rsid w:val="008A63F4"/>
    <w:rsid w:val="008A6E65"/>
    <w:rsid w:val="008A7608"/>
    <w:rsid w:val="008A7827"/>
    <w:rsid w:val="008B0D8A"/>
    <w:rsid w:val="008B167B"/>
    <w:rsid w:val="008B3ACF"/>
    <w:rsid w:val="008B4259"/>
    <w:rsid w:val="008B46DF"/>
    <w:rsid w:val="008B6164"/>
    <w:rsid w:val="008B6427"/>
    <w:rsid w:val="008B7A38"/>
    <w:rsid w:val="008C083B"/>
    <w:rsid w:val="008C25D3"/>
    <w:rsid w:val="008C287F"/>
    <w:rsid w:val="008C288C"/>
    <w:rsid w:val="008C2BF7"/>
    <w:rsid w:val="008C4453"/>
    <w:rsid w:val="008C516E"/>
    <w:rsid w:val="008C57BD"/>
    <w:rsid w:val="008C6066"/>
    <w:rsid w:val="008C6E01"/>
    <w:rsid w:val="008C7E38"/>
    <w:rsid w:val="008D1C8D"/>
    <w:rsid w:val="008D26B1"/>
    <w:rsid w:val="008D291B"/>
    <w:rsid w:val="008D319E"/>
    <w:rsid w:val="008D32E7"/>
    <w:rsid w:val="008D4EB1"/>
    <w:rsid w:val="008D58D3"/>
    <w:rsid w:val="008D5E8E"/>
    <w:rsid w:val="008D65DF"/>
    <w:rsid w:val="008D6726"/>
    <w:rsid w:val="008D6886"/>
    <w:rsid w:val="008D7972"/>
    <w:rsid w:val="008D7D65"/>
    <w:rsid w:val="008D7EEF"/>
    <w:rsid w:val="008E0BF5"/>
    <w:rsid w:val="008E111F"/>
    <w:rsid w:val="008E1268"/>
    <w:rsid w:val="008E36DA"/>
    <w:rsid w:val="008E42AC"/>
    <w:rsid w:val="008E5110"/>
    <w:rsid w:val="008E5466"/>
    <w:rsid w:val="008E5610"/>
    <w:rsid w:val="008E5BC4"/>
    <w:rsid w:val="008E5F93"/>
    <w:rsid w:val="008E6065"/>
    <w:rsid w:val="008E66CC"/>
    <w:rsid w:val="008E77D8"/>
    <w:rsid w:val="008F0701"/>
    <w:rsid w:val="008F0897"/>
    <w:rsid w:val="008F0A25"/>
    <w:rsid w:val="008F2652"/>
    <w:rsid w:val="008F5729"/>
    <w:rsid w:val="008F5E7B"/>
    <w:rsid w:val="008F6A37"/>
    <w:rsid w:val="008F7200"/>
    <w:rsid w:val="008F7577"/>
    <w:rsid w:val="008F79FE"/>
    <w:rsid w:val="008F7DBC"/>
    <w:rsid w:val="009002F2"/>
    <w:rsid w:val="00901A81"/>
    <w:rsid w:val="00901E29"/>
    <w:rsid w:val="00902833"/>
    <w:rsid w:val="00902A2F"/>
    <w:rsid w:val="00903F23"/>
    <w:rsid w:val="0090491D"/>
    <w:rsid w:val="00905CF7"/>
    <w:rsid w:val="00905E7E"/>
    <w:rsid w:val="0090669B"/>
    <w:rsid w:val="00906AA7"/>
    <w:rsid w:val="0090709E"/>
    <w:rsid w:val="009073DA"/>
    <w:rsid w:val="00907649"/>
    <w:rsid w:val="0090777B"/>
    <w:rsid w:val="00907F0A"/>
    <w:rsid w:val="0091110C"/>
    <w:rsid w:val="009116E7"/>
    <w:rsid w:val="00911858"/>
    <w:rsid w:val="00911B11"/>
    <w:rsid w:val="00911D37"/>
    <w:rsid w:val="00913DAE"/>
    <w:rsid w:val="009144B0"/>
    <w:rsid w:val="00914511"/>
    <w:rsid w:val="009149E3"/>
    <w:rsid w:val="00915D6F"/>
    <w:rsid w:val="009165BC"/>
    <w:rsid w:val="0091774C"/>
    <w:rsid w:val="00917878"/>
    <w:rsid w:val="009209D5"/>
    <w:rsid w:val="00920F16"/>
    <w:rsid w:val="00923802"/>
    <w:rsid w:val="00923843"/>
    <w:rsid w:val="00925AF6"/>
    <w:rsid w:val="00926216"/>
    <w:rsid w:val="0092722D"/>
    <w:rsid w:val="00927B65"/>
    <w:rsid w:val="00930F2B"/>
    <w:rsid w:val="00931078"/>
    <w:rsid w:val="00932667"/>
    <w:rsid w:val="009331BE"/>
    <w:rsid w:val="0093400C"/>
    <w:rsid w:val="00934150"/>
    <w:rsid w:val="009345A7"/>
    <w:rsid w:val="0093467E"/>
    <w:rsid w:val="00934C3B"/>
    <w:rsid w:val="00934F5D"/>
    <w:rsid w:val="009364CE"/>
    <w:rsid w:val="00936DC4"/>
    <w:rsid w:val="00941CEF"/>
    <w:rsid w:val="00941D5E"/>
    <w:rsid w:val="009422B9"/>
    <w:rsid w:val="00942EED"/>
    <w:rsid w:val="009432EA"/>
    <w:rsid w:val="009434DF"/>
    <w:rsid w:val="00943DDC"/>
    <w:rsid w:val="00944BA4"/>
    <w:rsid w:val="0094573F"/>
    <w:rsid w:val="00945843"/>
    <w:rsid w:val="00946674"/>
    <w:rsid w:val="009474F4"/>
    <w:rsid w:val="0094769E"/>
    <w:rsid w:val="00951365"/>
    <w:rsid w:val="0095166B"/>
    <w:rsid w:val="0095178B"/>
    <w:rsid w:val="00951808"/>
    <w:rsid w:val="00951AE7"/>
    <w:rsid w:val="0095347D"/>
    <w:rsid w:val="00953A33"/>
    <w:rsid w:val="00953BD3"/>
    <w:rsid w:val="00953C54"/>
    <w:rsid w:val="009552EE"/>
    <w:rsid w:val="009553B7"/>
    <w:rsid w:val="0095567B"/>
    <w:rsid w:val="009558CF"/>
    <w:rsid w:val="009571E1"/>
    <w:rsid w:val="0095761B"/>
    <w:rsid w:val="00957DA0"/>
    <w:rsid w:val="009611CB"/>
    <w:rsid w:val="00961C6A"/>
    <w:rsid w:val="0096264D"/>
    <w:rsid w:val="00962C9C"/>
    <w:rsid w:val="0096321D"/>
    <w:rsid w:val="00964010"/>
    <w:rsid w:val="0096413A"/>
    <w:rsid w:val="009643FA"/>
    <w:rsid w:val="00964788"/>
    <w:rsid w:val="00964C05"/>
    <w:rsid w:val="00965ED5"/>
    <w:rsid w:val="00966203"/>
    <w:rsid w:val="00966367"/>
    <w:rsid w:val="00966562"/>
    <w:rsid w:val="0097114E"/>
    <w:rsid w:val="0097199F"/>
    <w:rsid w:val="00972B2B"/>
    <w:rsid w:val="00973086"/>
    <w:rsid w:val="009735A4"/>
    <w:rsid w:val="009740D9"/>
    <w:rsid w:val="00974454"/>
    <w:rsid w:val="00974E5E"/>
    <w:rsid w:val="00976C3F"/>
    <w:rsid w:val="0097746F"/>
    <w:rsid w:val="0097754B"/>
    <w:rsid w:val="009823B6"/>
    <w:rsid w:val="009823E8"/>
    <w:rsid w:val="00982CC4"/>
    <w:rsid w:val="0098331A"/>
    <w:rsid w:val="00983774"/>
    <w:rsid w:val="00983CED"/>
    <w:rsid w:val="0098482E"/>
    <w:rsid w:val="00984AEE"/>
    <w:rsid w:val="00984BED"/>
    <w:rsid w:val="00984FE4"/>
    <w:rsid w:val="00985172"/>
    <w:rsid w:val="00986128"/>
    <w:rsid w:val="009872E6"/>
    <w:rsid w:val="00987947"/>
    <w:rsid w:val="00987B9D"/>
    <w:rsid w:val="009901B1"/>
    <w:rsid w:val="00990728"/>
    <w:rsid w:val="00991A97"/>
    <w:rsid w:val="0099225F"/>
    <w:rsid w:val="00992443"/>
    <w:rsid w:val="009936FD"/>
    <w:rsid w:val="009937AF"/>
    <w:rsid w:val="00993F2B"/>
    <w:rsid w:val="009942C3"/>
    <w:rsid w:val="00994ACE"/>
    <w:rsid w:val="00994AD6"/>
    <w:rsid w:val="00995304"/>
    <w:rsid w:val="00995B8A"/>
    <w:rsid w:val="00996D9D"/>
    <w:rsid w:val="00996DB8"/>
    <w:rsid w:val="009972CE"/>
    <w:rsid w:val="009A0650"/>
    <w:rsid w:val="009A0C47"/>
    <w:rsid w:val="009A1054"/>
    <w:rsid w:val="009A12AE"/>
    <w:rsid w:val="009A322E"/>
    <w:rsid w:val="009A34C8"/>
    <w:rsid w:val="009A369F"/>
    <w:rsid w:val="009A37A7"/>
    <w:rsid w:val="009A3957"/>
    <w:rsid w:val="009A3BD3"/>
    <w:rsid w:val="009A4769"/>
    <w:rsid w:val="009A4BC7"/>
    <w:rsid w:val="009A57F5"/>
    <w:rsid w:val="009A5C13"/>
    <w:rsid w:val="009A5FE8"/>
    <w:rsid w:val="009A6B4F"/>
    <w:rsid w:val="009A73C0"/>
    <w:rsid w:val="009A76FF"/>
    <w:rsid w:val="009B0159"/>
    <w:rsid w:val="009B06BB"/>
    <w:rsid w:val="009B1C0E"/>
    <w:rsid w:val="009B3D18"/>
    <w:rsid w:val="009B4AE0"/>
    <w:rsid w:val="009B557F"/>
    <w:rsid w:val="009B59F6"/>
    <w:rsid w:val="009B6DF6"/>
    <w:rsid w:val="009B7465"/>
    <w:rsid w:val="009B797E"/>
    <w:rsid w:val="009B7CB2"/>
    <w:rsid w:val="009C06D7"/>
    <w:rsid w:val="009C2474"/>
    <w:rsid w:val="009C29A7"/>
    <w:rsid w:val="009C5506"/>
    <w:rsid w:val="009C5A3C"/>
    <w:rsid w:val="009C6C0B"/>
    <w:rsid w:val="009C6C64"/>
    <w:rsid w:val="009C6E32"/>
    <w:rsid w:val="009C706D"/>
    <w:rsid w:val="009C777B"/>
    <w:rsid w:val="009C791A"/>
    <w:rsid w:val="009D00D0"/>
    <w:rsid w:val="009D12DD"/>
    <w:rsid w:val="009D17F8"/>
    <w:rsid w:val="009D1F66"/>
    <w:rsid w:val="009D2C8F"/>
    <w:rsid w:val="009D2D62"/>
    <w:rsid w:val="009D3B9C"/>
    <w:rsid w:val="009D409D"/>
    <w:rsid w:val="009D43EF"/>
    <w:rsid w:val="009D535E"/>
    <w:rsid w:val="009D5447"/>
    <w:rsid w:val="009D618A"/>
    <w:rsid w:val="009D6238"/>
    <w:rsid w:val="009D6BDE"/>
    <w:rsid w:val="009D6F88"/>
    <w:rsid w:val="009D7B5D"/>
    <w:rsid w:val="009E015A"/>
    <w:rsid w:val="009E0AD3"/>
    <w:rsid w:val="009E1240"/>
    <w:rsid w:val="009E165C"/>
    <w:rsid w:val="009E17E9"/>
    <w:rsid w:val="009E57E5"/>
    <w:rsid w:val="009E5D90"/>
    <w:rsid w:val="009E687E"/>
    <w:rsid w:val="009F01DB"/>
    <w:rsid w:val="009F07E6"/>
    <w:rsid w:val="009F0B3C"/>
    <w:rsid w:val="009F105C"/>
    <w:rsid w:val="009F21B1"/>
    <w:rsid w:val="009F314C"/>
    <w:rsid w:val="009F4764"/>
    <w:rsid w:val="009F581E"/>
    <w:rsid w:val="009F5DE5"/>
    <w:rsid w:val="009F6047"/>
    <w:rsid w:val="00A000CD"/>
    <w:rsid w:val="00A00F0E"/>
    <w:rsid w:val="00A01124"/>
    <w:rsid w:val="00A017B5"/>
    <w:rsid w:val="00A01C64"/>
    <w:rsid w:val="00A01E24"/>
    <w:rsid w:val="00A0269F"/>
    <w:rsid w:val="00A02790"/>
    <w:rsid w:val="00A02B71"/>
    <w:rsid w:val="00A02C2C"/>
    <w:rsid w:val="00A02D34"/>
    <w:rsid w:val="00A02F5D"/>
    <w:rsid w:val="00A03C47"/>
    <w:rsid w:val="00A041C0"/>
    <w:rsid w:val="00A043F4"/>
    <w:rsid w:val="00A04620"/>
    <w:rsid w:val="00A048C3"/>
    <w:rsid w:val="00A04E74"/>
    <w:rsid w:val="00A0501E"/>
    <w:rsid w:val="00A05348"/>
    <w:rsid w:val="00A054B0"/>
    <w:rsid w:val="00A066E0"/>
    <w:rsid w:val="00A06D7D"/>
    <w:rsid w:val="00A06F06"/>
    <w:rsid w:val="00A0773C"/>
    <w:rsid w:val="00A10844"/>
    <w:rsid w:val="00A10EB6"/>
    <w:rsid w:val="00A11391"/>
    <w:rsid w:val="00A11AF3"/>
    <w:rsid w:val="00A11C0C"/>
    <w:rsid w:val="00A1235A"/>
    <w:rsid w:val="00A12638"/>
    <w:rsid w:val="00A14A52"/>
    <w:rsid w:val="00A14E6B"/>
    <w:rsid w:val="00A163EC"/>
    <w:rsid w:val="00A1665E"/>
    <w:rsid w:val="00A16A90"/>
    <w:rsid w:val="00A16C9A"/>
    <w:rsid w:val="00A17628"/>
    <w:rsid w:val="00A178D2"/>
    <w:rsid w:val="00A179AF"/>
    <w:rsid w:val="00A17D4B"/>
    <w:rsid w:val="00A17E99"/>
    <w:rsid w:val="00A2020E"/>
    <w:rsid w:val="00A2030D"/>
    <w:rsid w:val="00A20465"/>
    <w:rsid w:val="00A206D4"/>
    <w:rsid w:val="00A21948"/>
    <w:rsid w:val="00A21D7C"/>
    <w:rsid w:val="00A22B66"/>
    <w:rsid w:val="00A22EF3"/>
    <w:rsid w:val="00A23A0C"/>
    <w:rsid w:val="00A23F8D"/>
    <w:rsid w:val="00A247E2"/>
    <w:rsid w:val="00A247EB"/>
    <w:rsid w:val="00A2483C"/>
    <w:rsid w:val="00A24C77"/>
    <w:rsid w:val="00A25E27"/>
    <w:rsid w:val="00A267BD"/>
    <w:rsid w:val="00A26A15"/>
    <w:rsid w:val="00A3097D"/>
    <w:rsid w:val="00A3165A"/>
    <w:rsid w:val="00A32276"/>
    <w:rsid w:val="00A323C8"/>
    <w:rsid w:val="00A32EAD"/>
    <w:rsid w:val="00A32F34"/>
    <w:rsid w:val="00A33B3C"/>
    <w:rsid w:val="00A3461A"/>
    <w:rsid w:val="00A34FFB"/>
    <w:rsid w:val="00A357C3"/>
    <w:rsid w:val="00A3694C"/>
    <w:rsid w:val="00A36CDA"/>
    <w:rsid w:val="00A37E2B"/>
    <w:rsid w:val="00A37F82"/>
    <w:rsid w:val="00A403BE"/>
    <w:rsid w:val="00A40B1C"/>
    <w:rsid w:val="00A422AE"/>
    <w:rsid w:val="00A42446"/>
    <w:rsid w:val="00A43787"/>
    <w:rsid w:val="00A441E6"/>
    <w:rsid w:val="00A444B8"/>
    <w:rsid w:val="00A44589"/>
    <w:rsid w:val="00A4496F"/>
    <w:rsid w:val="00A44B41"/>
    <w:rsid w:val="00A459BA"/>
    <w:rsid w:val="00A46020"/>
    <w:rsid w:val="00A46783"/>
    <w:rsid w:val="00A502B3"/>
    <w:rsid w:val="00A502F0"/>
    <w:rsid w:val="00A514CC"/>
    <w:rsid w:val="00A51A44"/>
    <w:rsid w:val="00A51DE3"/>
    <w:rsid w:val="00A52882"/>
    <w:rsid w:val="00A52A22"/>
    <w:rsid w:val="00A52DED"/>
    <w:rsid w:val="00A536AC"/>
    <w:rsid w:val="00A536DB"/>
    <w:rsid w:val="00A53B77"/>
    <w:rsid w:val="00A53C79"/>
    <w:rsid w:val="00A53D5A"/>
    <w:rsid w:val="00A54008"/>
    <w:rsid w:val="00A54042"/>
    <w:rsid w:val="00A54E5C"/>
    <w:rsid w:val="00A55F40"/>
    <w:rsid w:val="00A57FFC"/>
    <w:rsid w:val="00A602DB"/>
    <w:rsid w:val="00A603EE"/>
    <w:rsid w:val="00A60B05"/>
    <w:rsid w:val="00A60BB8"/>
    <w:rsid w:val="00A61477"/>
    <w:rsid w:val="00A62962"/>
    <w:rsid w:val="00A62A97"/>
    <w:rsid w:val="00A63689"/>
    <w:rsid w:val="00A659E6"/>
    <w:rsid w:val="00A65BCF"/>
    <w:rsid w:val="00A6613E"/>
    <w:rsid w:val="00A661F7"/>
    <w:rsid w:val="00A6659C"/>
    <w:rsid w:val="00A6761B"/>
    <w:rsid w:val="00A6765F"/>
    <w:rsid w:val="00A709E6"/>
    <w:rsid w:val="00A70E7B"/>
    <w:rsid w:val="00A71958"/>
    <w:rsid w:val="00A72029"/>
    <w:rsid w:val="00A72A79"/>
    <w:rsid w:val="00A72F28"/>
    <w:rsid w:val="00A7337C"/>
    <w:rsid w:val="00A7353E"/>
    <w:rsid w:val="00A738A0"/>
    <w:rsid w:val="00A73CF7"/>
    <w:rsid w:val="00A74A82"/>
    <w:rsid w:val="00A74B04"/>
    <w:rsid w:val="00A74D28"/>
    <w:rsid w:val="00A7565C"/>
    <w:rsid w:val="00A75BB4"/>
    <w:rsid w:val="00A7615A"/>
    <w:rsid w:val="00A763C8"/>
    <w:rsid w:val="00A7657F"/>
    <w:rsid w:val="00A76DBB"/>
    <w:rsid w:val="00A76F8E"/>
    <w:rsid w:val="00A77020"/>
    <w:rsid w:val="00A77024"/>
    <w:rsid w:val="00A775A7"/>
    <w:rsid w:val="00A80151"/>
    <w:rsid w:val="00A8025F"/>
    <w:rsid w:val="00A8042B"/>
    <w:rsid w:val="00A808EC"/>
    <w:rsid w:val="00A80CBC"/>
    <w:rsid w:val="00A80D18"/>
    <w:rsid w:val="00A80E5F"/>
    <w:rsid w:val="00A81B03"/>
    <w:rsid w:val="00A81D96"/>
    <w:rsid w:val="00A82F0A"/>
    <w:rsid w:val="00A82F43"/>
    <w:rsid w:val="00A83A2C"/>
    <w:rsid w:val="00A83B01"/>
    <w:rsid w:val="00A84FFB"/>
    <w:rsid w:val="00A85154"/>
    <w:rsid w:val="00A858BB"/>
    <w:rsid w:val="00A86077"/>
    <w:rsid w:val="00A8766E"/>
    <w:rsid w:val="00A87946"/>
    <w:rsid w:val="00A9166E"/>
    <w:rsid w:val="00A9187D"/>
    <w:rsid w:val="00A919DB"/>
    <w:rsid w:val="00A92CDC"/>
    <w:rsid w:val="00A935AB"/>
    <w:rsid w:val="00A93A15"/>
    <w:rsid w:val="00A949D9"/>
    <w:rsid w:val="00A94F13"/>
    <w:rsid w:val="00A95071"/>
    <w:rsid w:val="00A952AD"/>
    <w:rsid w:val="00A95D7D"/>
    <w:rsid w:val="00A96135"/>
    <w:rsid w:val="00A96BC3"/>
    <w:rsid w:val="00A97FB4"/>
    <w:rsid w:val="00AA0689"/>
    <w:rsid w:val="00AA0A6E"/>
    <w:rsid w:val="00AA0A70"/>
    <w:rsid w:val="00AA20FB"/>
    <w:rsid w:val="00AA2BDD"/>
    <w:rsid w:val="00AA3B48"/>
    <w:rsid w:val="00AA3E4D"/>
    <w:rsid w:val="00AA4D83"/>
    <w:rsid w:val="00AA524A"/>
    <w:rsid w:val="00AA5A88"/>
    <w:rsid w:val="00AA5EA6"/>
    <w:rsid w:val="00AA70D9"/>
    <w:rsid w:val="00AA7522"/>
    <w:rsid w:val="00AA75F9"/>
    <w:rsid w:val="00AA7661"/>
    <w:rsid w:val="00AA79B5"/>
    <w:rsid w:val="00AB085E"/>
    <w:rsid w:val="00AB103C"/>
    <w:rsid w:val="00AB16DF"/>
    <w:rsid w:val="00AB1803"/>
    <w:rsid w:val="00AB1B12"/>
    <w:rsid w:val="00AB1E28"/>
    <w:rsid w:val="00AB2BF0"/>
    <w:rsid w:val="00AB2F71"/>
    <w:rsid w:val="00AB31F1"/>
    <w:rsid w:val="00AB34F2"/>
    <w:rsid w:val="00AB4101"/>
    <w:rsid w:val="00AB4330"/>
    <w:rsid w:val="00AB4F47"/>
    <w:rsid w:val="00AB5331"/>
    <w:rsid w:val="00AB5617"/>
    <w:rsid w:val="00AB6BF1"/>
    <w:rsid w:val="00AB6CE2"/>
    <w:rsid w:val="00AB78E5"/>
    <w:rsid w:val="00AB7F00"/>
    <w:rsid w:val="00AB7FE2"/>
    <w:rsid w:val="00AC00F8"/>
    <w:rsid w:val="00AC0930"/>
    <w:rsid w:val="00AC0A5A"/>
    <w:rsid w:val="00AC10FA"/>
    <w:rsid w:val="00AC1FD4"/>
    <w:rsid w:val="00AC3187"/>
    <w:rsid w:val="00AC3245"/>
    <w:rsid w:val="00AC3CB8"/>
    <w:rsid w:val="00AC4046"/>
    <w:rsid w:val="00AC534D"/>
    <w:rsid w:val="00AC7BA2"/>
    <w:rsid w:val="00AC7DBA"/>
    <w:rsid w:val="00AD0D06"/>
    <w:rsid w:val="00AD18FF"/>
    <w:rsid w:val="00AD2DB8"/>
    <w:rsid w:val="00AD3D99"/>
    <w:rsid w:val="00AD439A"/>
    <w:rsid w:val="00AD4BF2"/>
    <w:rsid w:val="00AD5B46"/>
    <w:rsid w:val="00AD60C4"/>
    <w:rsid w:val="00AD6A85"/>
    <w:rsid w:val="00AD7FF7"/>
    <w:rsid w:val="00AE0F55"/>
    <w:rsid w:val="00AE23E2"/>
    <w:rsid w:val="00AE250D"/>
    <w:rsid w:val="00AE2C80"/>
    <w:rsid w:val="00AE2E01"/>
    <w:rsid w:val="00AE4A97"/>
    <w:rsid w:val="00AE556A"/>
    <w:rsid w:val="00AE582D"/>
    <w:rsid w:val="00AE5DC8"/>
    <w:rsid w:val="00AE5E0C"/>
    <w:rsid w:val="00AE63A2"/>
    <w:rsid w:val="00AE6FED"/>
    <w:rsid w:val="00AE750C"/>
    <w:rsid w:val="00AF0215"/>
    <w:rsid w:val="00AF031F"/>
    <w:rsid w:val="00AF188C"/>
    <w:rsid w:val="00AF1E5C"/>
    <w:rsid w:val="00AF1EA3"/>
    <w:rsid w:val="00AF1FA0"/>
    <w:rsid w:val="00AF20AF"/>
    <w:rsid w:val="00AF3274"/>
    <w:rsid w:val="00AF3B4F"/>
    <w:rsid w:val="00AF428E"/>
    <w:rsid w:val="00AF50E8"/>
    <w:rsid w:val="00AF5D25"/>
    <w:rsid w:val="00AF6BC8"/>
    <w:rsid w:val="00AF71F7"/>
    <w:rsid w:val="00AF7835"/>
    <w:rsid w:val="00AF7997"/>
    <w:rsid w:val="00B002C8"/>
    <w:rsid w:val="00B006E0"/>
    <w:rsid w:val="00B00FF0"/>
    <w:rsid w:val="00B01A02"/>
    <w:rsid w:val="00B032E0"/>
    <w:rsid w:val="00B04EB5"/>
    <w:rsid w:val="00B051E3"/>
    <w:rsid w:val="00B06417"/>
    <w:rsid w:val="00B07B86"/>
    <w:rsid w:val="00B10F5D"/>
    <w:rsid w:val="00B11E9E"/>
    <w:rsid w:val="00B1200A"/>
    <w:rsid w:val="00B12CFF"/>
    <w:rsid w:val="00B132C0"/>
    <w:rsid w:val="00B13931"/>
    <w:rsid w:val="00B13D6C"/>
    <w:rsid w:val="00B15E24"/>
    <w:rsid w:val="00B20123"/>
    <w:rsid w:val="00B20431"/>
    <w:rsid w:val="00B21140"/>
    <w:rsid w:val="00B22774"/>
    <w:rsid w:val="00B23809"/>
    <w:rsid w:val="00B2390B"/>
    <w:rsid w:val="00B23CF8"/>
    <w:rsid w:val="00B24143"/>
    <w:rsid w:val="00B24B5C"/>
    <w:rsid w:val="00B24EFC"/>
    <w:rsid w:val="00B253EC"/>
    <w:rsid w:val="00B2575D"/>
    <w:rsid w:val="00B258A7"/>
    <w:rsid w:val="00B26705"/>
    <w:rsid w:val="00B27273"/>
    <w:rsid w:val="00B30063"/>
    <w:rsid w:val="00B307C8"/>
    <w:rsid w:val="00B3181B"/>
    <w:rsid w:val="00B31E14"/>
    <w:rsid w:val="00B31E3E"/>
    <w:rsid w:val="00B33862"/>
    <w:rsid w:val="00B33FDC"/>
    <w:rsid w:val="00B3408B"/>
    <w:rsid w:val="00B3429C"/>
    <w:rsid w:val="00B3471B"/>
    <w:rsid w:val="00B34F73"/>
    <w:rsid w:val="00B36253"/>
    <w:rsid w:val="00B36DD3"/>
    <w:rsid w:val="00B375D4"/>
    <w:rsid w:val="00B3772E"/>
    <w:rsid w:val="00B37E9C"/>
    <w:rsid w:val="00B40530"/>
    <w:rsid w:val="00B40DA6"/>
    <w:rsid w:val="00B42203"/>
    <w:rsid w:val="00B42861"/>
    <w:rsid w:val="00B43693"/>
    <w:rsid w:val="00B4401C"/>
    <w:rsid w:val="00B44857"/>
    <w:rsid w:val="00B457FF"/>
    <w:rsid w:val="00B45D0C"/>
    <w:rsid w:val="00B46409"/>
    <w:rsid w:val="00B464FB"/>
    <w:rsid w:val="00B4653A"/>
    <w:rsid w:val="00B47388"/>
    <w:rsid w:val="00B47578"/>
    <w:rsid w:val="00B50229"/>
    <w:rsid w:val="00B50823"/>
    <w:rsid w:val="00B51295"/>
    <w:rsid w:val="00B52158"/>
    <w:rsid w:val="00B521DD"/>
    <w:rsid w:val="00B53F08"/>
    <w:rsid w:val="00B542BE"/>
    <w:rsid w:val="00B54FDB"/>
    <w:rsid w:val="00B55248"/>
    <w:rsid w:val="00B55F39"/>
    <w:rsid w:val="00B56273"/>
    <w:rsid w:val="00B5654E"/>
    <w:rsid w:val="00B56678"/>
    <w:rsid w:val="00B56CFF"/>
    <w:rsid w:val="00B5713B"/>
    <w:rsid w:val="00B572F7"/>
    <w:rsid w:val="00B574AD"/>
    <w:rsid w:val="00B579BF"/>
    <w:rsid w:val="00B57B12"/>
    <w:rsid w:val="00B57D6A"/>
    <w:rsid w:val="00B60741"/>
    <w:rsid w:val="00B60AFE"/>
    <w:rsid w:val="00B6207B"/>
    <w:rsid w:val="00B62380"/>
    <w:rsid w:val="00B62E5E"/>
    <w:rsid w:val="00B63A1A"/>
    <w:rsid w:val="00B63F1A"/>
    <w:rsid w:val="00B65545"/>
    <w:rsid w:val="00B65B3C"/>
    <w:rsid w:val="00B66055"/>
    <w:rsid w:val="00B660BC"/>
    <w:rsid w:val="00B6658C"/>
    <w:rsid w:val="00B66F31"/>
    <w:rsid w:val="00B67648"/>
    <w:rsid w:val="00B67CCA"/>
    <w:rsid w:val="00B67FFD"/>
    <w:rsid w:val="00B70685"/>
    <w:rsid w:val="00B72405"/>
    <w:rsid w:val="00B73230"/>
    <w:rsid w:val="00B73D46"/>
    <w:rsid w:val="00B73DB4"/>
    <w:rsid w:val="00B75257"/>
    <w:rsid w:val="00B752D8"/>
    <w:rsid w:val="00B75A93"/>
    <w:rsid w:val="00B766DD"/>
    <w:rsid w:val="00B76D10"/>
    <w:rsid w:val="00B76EBA"/>
    <w:rsid w:val="00B77AB1"/>
    <w:rsid w:val="00B77FEA"/>
    <w:rsid w:val="00B8037D"/>
    <w:rsid w:val="00B81431"/>
    <w:rsid w:val="00B818F1"/>
    <w:rsid w:val="00B819BE"/>
    <w:rsid w:val="00B82417"/>
    <w:rsid w:val="00B8254D"/>
    <w:rsid w:val="00B8297B"/>
    <w:rsid w:val="00B82CCC"/>
    <w:rsid w:val="00B83279"/>
    <w:rsid w:val="00B83957"/>
    <w:rsid w:val="00B8550A"/>
    <w:rsid w:val="00B85857"/>
    <w:rsid w:val="00B85C81"/>
    <w:rsid w:val="00B87464"/>
    <w:rsid w:val="00B87B99"/>
    <w:rsid w:val="00B902B7"/>
    <w:rsid w:val="00B90BC9"/>
    <w:rsid w:val="00B91623"/>
    <w:rsid w:val="00B91ABA"/>
    <w:rsid w:val="00B9211C"/>
    <w:rsid w:val="00B923C0"/>
    <w:rsid w:val="00B934A6"/>
    <w:rsid w:val="00B934E3"/>
    <w:rsid w:val="00B94E91"/>
    <w:rsid w:val="00B9545B"/>
    <w:rsid w:val="00B96A0B"/>
    <w:rsid w:val="00B970A2"/>
    <w:rsid w:val="00BA08BC"/>
    <w:rsid w:val="00BA116C"/>
    <w:rsid w:val="00BA1650"/>
    <w:rsid w:val="00BA1789"/>
    <w:rsid w:val="00BA1CD4"/>
    <w:rsid w:val="00BA20E8"/>
    <w:rsid w:val="00BA2C8B"/>
    <w:rsid w:val="00BA486E"/>
    <w:rsid w:val="00BA5193"/>
    <w:rsid w:val="00BA558C"/>
    <w:rsid w:val="00BA56D2"/>
    <w:rsid w:val="00BA639F"/>
    <w:rsid w:val="00BA6425"/>
    <w:rsid w:val="00BA6616"/>
    <w:rsid w:val="00BA6C80"/>
    <w:rsid w:val="00BA6E96"/>
    <w:rsid w:val="00BA7BD5"/>
    <w:rsid w:val="00BA7EA6"/>
    <w:rsid w:val="00BB0AC5"/>
    <w:rsid w:val="00BB0DA4"/>
    <w:rsid w:val="00BB0DE1"/>
    <w:rsid w:val="00BB0E48"/>
    <w:rsid w:val="00BB11A1"/>
    <w:rsid w:val="00BB1282"/>
    <w:rsid w:val="00BB1C02"/>
    <w:rsid w:val="00BB1C27"/>
    <w:rsid w:val="00BB2004"/>
    <w:rsid w:val="00BB20C2"/>
    <w:rsid w:val="00BB23EB"/>
    <w:rsid w:val="00BB3171"/>
    <w:rsid w:val="00BB327D"/>
    <w:rsid w:val="00BB4624"/>
    <w:rsid w:val="00BB4994"/>
    <w:rsid w:val="00BB5ACC"/>
    <w:rsid w:val="00BB6CAD"/>
    <w:rsid w:val="00BB75B9"/>
    <w:rsid w:val="00BB76DE"/>
    <w:rsid w:val="00BC00E5"/>
    <w:rsid w:val="00BC19B1"/>
    <w:rsid w:val="00BC1F56"/>
    <w:rsid w:val="00BC1FB8"/>
    <w:rsid w:val="00BC20E6"/>
    <w:rsid w:val="00BC2171"/>
    <w:rsid w:val="00BC2D58"/>
    <w:rsid w:val="00BC3438"/>
    <w:rsid w:val="00BC3907"/>
    <w:rsid w:val="00BC3E39"/>
    <w:rsid w:val="00BC44F2"/>
    <w:rsid w:val="00BC4A3F"/>
    <w:rsid w:val="00BC5C02"/>
    <w:rsid w:val="00BC660A"/>
    <w:rsid w:val="00BC7180"/>
    <w:rsid w:val="00BD09DF"/>
    <w:rsid w:val="00BD0F59"/>
    <w:rsid w:val="00BD15F5"/>
    <w:rsid w:val="00BD21BF"/>
    <w:rsid w:val="00BD29B7"/>
    <w:rsid w:val="00BD2C0D"/>
    <w:rsid w:val="00BD3F72"/>
    <w:rsid w:val="00BD4DAE"/>
    <w:rsid w:val="00BE0B00"/>
    <w:rsid w:val="00BE1070"/>
    <w:rsid w:val="00BE151D"/>
    <w:rsid w:val="00BE246F"/>
    <w:rsid w:val="00BE24A5"/>
    <w:rsid w:val="00BE288F"/>
    <w:rsid w:val="00BE35DF"/>
    <w:rsid w:val="00BE3C8A"/>
    <w:rsid w:val="00BE3CE6"/>
    <w:rsid w:val="00BE48AB"/>
    <w:rsid w:val="00BE6912"/>
    <w:rsid w:val="00BE771A"/>
    <w:rsid w:val="00BF0905"/>
    <w:rsid w:val="00BF091C"/>
    <w:rsid w:val="00BF33F3"/>
    <w:rsid w:val="00BF3759"/>
    <w:rsid w:val="00BF43A6"/>
    <w:rsid w:val="00BF475A"/>
    <w:rsid w:val="00BF4790"/>
    <w:rsid w:val="00BF57E5"/>
    <w:rsid w:val="00BF6AC6"/>
    <w:rsid w:val="00BF74E8"/>
    <w:rsid w:val="00BF7D25"/>
    <w:rsid w:val="00C00466"/>
    <w:rsid w:val="00C012DD"/>
    <w:rsid w:val="00C0167F"/>
    <w:rsid w:val="00C0220C"/>
    <w:rsid w:val="00C0300C"/>
    <w:rsid w:val="00C0385B"/>
    <w:rsid w:val="00C0388B"/>
    <w:rsid w:val="00C03903"/>
    <w:rsid w:val="00C052D6"/>
    <w:rsid w:val="00C05867"/>
    <w:rsid w:val="00C05D47"/>
    <w:rsid w:val="00C06614"/>
    <w:rsid w:val="00C0675E"/>
    <w:rsid w:val="00C06C51"/>
    <w:rsid w:val="00C06EE5"/>
    <w:rsid w:val="00C0749C"/>
    <w:rsid w:val="00C104ED"/>
    <w:rsid w:val="00C1146A"/>
    <w:rsid w:val="00C1259F"/>
    <w:rsid w:val="00C12CE8"/>
    <w:rsid w:val="00C13597"/>
    <w:rsid w:val="00C1479C"/>
    <w:rsid w:val="00C14FC4"/>
    <w:rsid w:val="00C15A32"/>
    <w:rsid w:val="00C162D9"/>
    <w:rsid w:val="00C16910"/>
    <w:rsid w:val="00C1734D"/>
    <w:rsid w:val="00C178BB"/>
    <w:rsid w:val="00C17F37"/>
    <w:rsid w:val="00C200E9"/>
    <w:rsid w:val="00C2034F"/>
    <w:rsid w:val="00C204D2"/>
    <w:rsid w:val="00C20FE7"/>
    <w:rsid w:val="00C210C0"/>
    <w:rsid w:val="00C2194A"/>
    <w:rsid w:val="00C21EE8"/>
    <w:rsid w:val="00C22AC9"/>
    <w:rsid w:val="00C23601"/>
    <w:rsid w:val="00C2365E"/>
    <w:rsid w:val="00C2385C"/>
    <w:rsid w:val="00C23917"/>
    <w:rsid w:val="00C25319"/>
    <w:rsid w:val="00C2533C"/>
    <w:rsid w:val="00C2537C"/>
    <w:rsid w:val="00C259BE"/>
    <w:rsid w:val="00C26958"/>
    <w:rsid w:val="00C26D5E"/>
    <w:rsid w:val="00C26F78"/>
    <w:rsid w:val="00C271FA"/>
    <w:rsid w:val="00C27544"/>
    <w:rsid w:val="00C30160"/>
    <w:rsid w:val="00C308AD"/>
    <w:rsid w:val="00C30ADF"/>
    <w:rsid w:val="00C311BC"/>
    <w:rsid w:val="00C3145D"/>
    <w:rsid w:val="00C32AD3"/>
    <w:rsid w:val="00C32F9A"/>
    <w:rsid w:val="00C34170"/>
    <w:rsid w:val="00C355BD"/>
    <w:rsid w:val="00C356F2"/>
    <w:rsid w:val="00C35F78"/>
    <w:rsid w:val="00C36ABA"/>
    <w:rsid w:val="00C36B1A"/>
    <w:rsid w:val="00C3709D"/>
    <w:rsid w:val="00C37335"/>
    <w:rsid w:val="00C37C43"/>
    <w:rsid w:val="00C40AAA"/>
    <w:rsid w:val="00C413D1"/>
    <w:rsid w:val="00C41B48"/>
    <w:rsid w:val="00C426A6"/>
    <w:rsid w:val="00C429D0"/>
    <w:rsid w:val="00C438F2"/>
    <w:rsid w:val="00C44A30"/>
    <w:rsid w:val="00C44B35"/>
    <w:rsid w:val="00C44D54"/>
    <w:rsid w:val="00C44E46"/>
    <w:rsid w:val="00C4504F"/>
    <w:rsid w:val="00C45500"/>
    <w:rsid w:val="00C459B9"/>
    <w:rsid w:val="00C462BE"/>
    <w:rsid w:val="00C46305"/>
    <w:rsid w:val="00C46D48"/>
    <w:rsid w:val="00C4778F"/>
    <w:rsid w:val="00C479EF"/>
    <w:rsid w:val="00C52ACF"/>
    <w:rsid w:val="00C52D7F"/>
    <w:rsid w:val="00C53687"/>
    <w:rsid w:val="00C53C34"/>
    <w:rsid w:val="00C54C10"/>
    <w:rsid w:val="00C55D7F"/>
    <w:rsid w:val="00C566DF"/>
    <w:rsid w:val="00C5719B"/>
    <w:rsid w:val="00C57776"/>
    <w:rsid w:val="00C57DE5"/>
    <w:rsid w:val="00C60246"/>
    <w:rsid w:val="00C61895"/>
    <w:rsid w:val="00C61C25"/>
    <w:rsid w:val="00C625CC"/>
    <w:rsid w:val="00C6274A"/>
    <w:rsid w:val="00C630DB"/>
    <w:rsid w:val="00C638E6"/>
    <w:rsid w:val="00C64064"/>
    <w:rsid w:val="00C64862"/>
    <w:rsid w:val="00C655F1"/>
    <w:rsid w:val="00C658CD"/>
    <w:rsid w:val="00C66B42"/>
    <w:rsid w:val="00C67B8C"/>
    <w:rsid w:val="00C67DC9"/>
    <w:rsid w:val="00C709FB"/>
    <w:rsid w:val="00C71672"/>
    <w:rsid w:val="00C72332"/>
    <w:rsid w:val="00C7278A"/>
    <w:rsid w:val="00C72F39"/>
    <w:rsid w:val="00C730E9"/>
    <w:rsid w:val="00C731A2"/>
    <w:rsid w:val="00C733F8"/>
    <w:rsid w:val="00C73E82"/>
    <w:rsid w:val="00C75193"/>
    <w:rsid w:val="00C76C20"/>
    <w:rsid w:val="00C76D2B"/>
    <w:rsid w:val="00C76FAB"/>
    <w:rsid w:val="00C7711A"/>
    <w:rsid w:val="00C77975"/>
    <w:rsid w:val="00C77A38"/>
    <w:rsid w:val="00C80CB0"/>
    <w:rsid w:val="00C814EE"/>
    <w:rsid w:val="00C81BE1"/>
    <w:rsid w:val="00C8254A"/>
    <w:rsid w:val="00C83CB8"/>
    <w:rsid w:val="00C83D1C"/>
    <w:rsid w:val="00C84EB2"/>
    <w:rsid w:val="00C85EBF"/>
    <w:rsid w:val="00C85FDE"/>
    <w:rsid w:val="00C862B2"/>
    <w:rsid w:val="00C86667"/>
    <w:rsid w:val="00C86F91"/>
    <w:rsid w:val="00C91CC9"/>
    <w:rsid w:val="00C9239D"/>
    <w:rsid w:val="00C924C3"/>
    <w:rsid w:val="00C926D4"/>
    <w:rsid w:val="00C92ADD"/>
    <w:rsid w:val="00C92FF2"/>
    <w:rsid w:val="00C9338C"/>
    <w:rsid w:val="00C9350A"/>
    <w:rsid w:val="00C94015"/>
    <w:rsid w:val="00C94A5F"/>
    <w:rsid w:val="00C94C5B"/>
    <w:rsid w:val="00C950DA"/>
    <w:rsid w:val="00C96C31"/>
    <w:rsid w:val="00C97A92"/>
    <w:rsid w:val="00CA171B"/>
    <w:rsid w:val="00CA18BE"/>
    <w:rsid w:val="00CA28A5"/>
    <w:rsid w:val="00CA403E"/>
    <w:rsid w:val="00CA4817"/>
    <w:rsid w:val="00CA6A3C"/>
    <w:rsid w:val="00CA77A4"/>
    <w:rsid w:val="00CA7CF1"/>
    <w:rsid w:val="00CB08B1"/>
    <w:rsid w:val="00CB2583"/>
    <w:rsid w:val="00CB299B"/>
    <w:rsid w:val="00CB29C1"/>
    <w:rsid w:val="00CB411C"/>
    <w:rsid w:val="00CB4368"/>
    <w:rsid w:val="00CB443F"/>
    <w:rsid w:val="00CB470C"/>
    <w:rsid w:val="00CB4F7F"/>
    <w:rsid w:val="00CB605F"/>
    <w:rsid w:val="00CB60D7"/>
    <w:rsid w:val="00CB6325"/>
    <w:rsid w:val="00CB6564"/>
    <w:rsid w:val="00CB6EF6"/>
    <w:rsid w:val="00CB70D9"/>
    <w:rsid w:val="00CB73FC"/>
    <w:rsid w:val="00CC053D"/>
    <w:rsid w:val="00CC2AEF"/>
    <w:rsid w:val="00CC375C"/>
    <w:rsid w:val="00CC433E"/>
    <w:rsid w:val="00CC44E0"/>
    <w:rsid w:val="00CC5243"/>
    <w:rsid w:val="00CC5263"/>
    <w:rsid w:val="00CC60EF"/>
    <w:rsid w:val="00CC6768"/>
    <w:rsid w:val="00CC6900"/>
    <w:rsid w:val="00CD0CA3"/>
    <w:rsid w:val="00CD1E9E"/>
    <w:rsid w:val="00CD2423"/>
    <w:rsid w:val="00CD3093"/>
    <w:rsid w:val="00CD323E"/>
    <w:rsid w:val="00CD38BD"/>
    <w:rsid w:val="00CD4AE6"/>
    <w:rsid w:val="00CD5B58"/>
    <w:rsid w:val="00CD5D1A"/>
    <w:rsid w:val="00CD6A7D"/>
    <w:rsid w:val="00CD739E"/>
    <w:rsid w:val="00CE117C"/>
    <w:rsid w:val="00CE1645"/>
    <w:rsid w:val="00CE1EA9"/>
    <w:rsid w:val="00CE28D3"/>
    <w:rsid w:val="00CE2D1D"/>
    <w:rsid w:val="00CE3C1B"/>
    <w:rsid w:val="00CE3D50"/>
    <w:rsid w:val="00CE50E8"/>
    <w:rsid w:val="00CE76F7"/>
    <w:rsid w:val="00CF0413"/>
    <w:rsid w:val="00CF07D9"/>
    <w:rsid w:val="00CF0F4A"/>
    <w:rsid w:val="00CF1568"/>
    <w:rsid w:val="00CF23A8"/>
    <w:rsid w:val="00CF2E3D"/>
    <w:rsid w:val="00CF2FEE"/>
    <w:rsid w:val="00CF404B"/>
    <w:rsid w:val="00CF41C1"/>
    <w:rsid w:val="00CF5010"/>
    <w:rsid w:val="00CF5E3C"/>
    <w:rsid w:val="00CF623D"/>
    <w:rsid w:val="00CF718E"/>
    <w:rsid w:val="00CF71A8"/>
    <w:rsid w:val="00CF77DA"/>
    <w:rsid w:val="00D0083E"/>
    <w:rsid w:val="00D01DA9"/>
    <w:rsid w:val="00D04461"/>
    <w:rsid w:val="00D04F49"/>
    <w:rsid w:val="00D05427"/>
    <w:rsid w:val="00D05943"/>
    <w:rsid w:val="00D06CEF"/>
    <w:rsid w:val="00D079F9"/>
    <w:rsid w:val="00D07D44"/>
    <w:rsid w:val="00D07DC0"/>
    <w:rsid w:val="00D10131"/>
    <w:rsid w:val="00D12179"/>
    <w:rsid w:val="00D122BF"/>
    <w:rsid w:val="00D134BF"/>
    <w:rsid w:val="00D138AB"/>
    <w:rsid w:val="00D14590"/>
    <w:rsid w:val="00D14FD9"/>
    <w:rsid w:val="00D16033"/>
    <w:rsid w:val="00D1672E"/>
    <w:rsid w:val="00D16B8A"/>
    <w:rsid w:val="00D17D64"/>
    <w:rsid w:val="00D201F0"/>
    <w:rsid w:val="00D21101"/>
    <w:rsid w:val="00D214BF"/>
    <w:rsid w:val="00D2187C"/>
    <w:rsid w:val="00D21D2B"/>
    <w:rsid w:val="00D22DDE"/>
    <w:rsid w:val="00D23057"/>
    <w:rsid w:val="00D23995"/>
    <w:rsid w:val="00D23D67"/>
    <w:rsid w:val="00D25100"/>
    <w:rsid w:val="00D27209"/>
    <w:rsid w:val="00D30D8B"/>
    <w:rsid w:val="00D31929"/>
    <w:rsid w:val="00D31C29"/>
    <w:rsid w:val="00D3227A"/>
    <w:rsid w:val="00D327AE"/>
    <w:rsid w:val="00D3462E"/>
    <w:rsid w:val="00D35EB5"/>
    <w:rsid w:val="00D35F21"/>
    <w:rsid w:val="00D363C4"/>
    <w:rsid w:val="00D36605"/>
    <w:rsid w:val="00D3739E"/>
    <w:rsid w:val="00D378B5"/>
    <w:rsid w:val="00D4017A"/>
    <w:rsid w:val="00D43769"/>
    <w:rsid w:val="00D43DB6"/>
    <w:rsid w:val="00D44845"/>
    <w:rsid w:val="00D45CAE"/>
    <w:rsid w:val="00D46311"/>
    <w:rsid w:val="00D4639D"/>
    <w:rsid w:val="00D466CA"/>
    <w:rsid w:val="00D46962"/>
    <w:rsid w:val="00D47CF3"/>
    <w:rsid w:val="00D5000F"/>
    <w:rsid w:val="00D503ED"/>
    <w:rsid w:val="00D50552"/>
    <w:rsid w:val="00D508A1"/>
    <w:rsid w:val="00D51015"/>
    <w:rsid w:val="00D5129F"/>
    <w:rsid w:val="00D528E4"/>
    <w:rsid w:val="00D53A0C"/>
    <w:rsid w:val="00D53ADE"/>
    <w:rsid w:val="00D54658"/>
    <w:rsid w:val="00D54BCA"/>
    <w:rsid w:val="00D54D7A"/>
    <w:rsid w:val="00D54DD0"/>
    <w:rsid w:val="00D56DBE"/>
    <w:rsid w:val="00D56F1E"/>
    <w:rsid w:val="00D60786"/>
    <w:rsid w:val="00D61060"/>
    <w:rsid w:val="00D6362E"/>
    <w:rsid w:val="00D63993"/>
    <w:rsid w:val="00D64889"/>
    <w:rsid w:val="00D64E31"/>
    <w:rsid w:val="00D65A65"/>
    <w:rsid w:val="00D66022"/>
    <w:rsid w:val="00D668AE"/>
    <w:rsid w:val="00D707E3"/>
    <w:rsid w:val="00D71786"/>
    <w:rsid w:val="00D722BF"/>
    <w:rsid w:val="00D728D4"/>
    <w:rsid w:val="00D72CA2"/>
    <w:rsid w:val="00D72CC8"/>
    <w:rsid w:val="00D72CFB"/>
    <w:rsid w:val="00D736AF"/>
    <w:rsid w:val="00D73BA7"/>
    <w:rsid w:val="00D741C9"/>
    <w:rsid w:val="00D74316"/>
    <w:rsid w:val="00D74840"/>
    <w:rsid w:val="00D74C04"/>
    <w:rsid w:val="00D74E3A"/>
    <w:rsid w:val="00D76BEF"/>
    <w:rsid w:val="00D76F0D"/>
    <w:rsid w:val="00D8072C"/>
    <w:rsid w:val="00D80CB2"/>
    <w:rsid w:val="00D81778"/>
    <w:rsid w:val="00D81BF3"/>
    <w:rsid w:val="00D81EE7"/>
    <w:rsid w:val="00D827DC"/>
    <w:rsid w:val="00D82B06"/>
    <w:rsid w:val="00D83A2A"/>
    <w:rsid w:val="00D83ABC"/>
    <w:rsid w:val="00D840CE"/>
    <w:rsid w:val="00D8436B"/>
    <w:rsid w:val="00D84C04"/>
    <w:rsid w:val="00D84D56"/>
    <w:rsid w:val="00D854C3"/>
    <w:rsid w:val="00D85D4C"/>
    <w:rsid w:val="00D85FDB"/>
    <w:rsid w:val="00D85FFB"/>
    <w:rsid w:val="00D8644F"/>
    <w:rsid w:val="00D86892"/>
    <w:rsid w:val="00D86D9C"/>
    <w:rsid w:val="00D87154"/>
    <w:rsid w:val="00D87C2D"/>
    <w:rsid w:val="00D87CE2"/>
    <w:rsid w:val="00D90180"/>
    <w:rsid w:val="00D904D7"/>
    <w:rsid w:val="00D90583"/>
    <w:rsid w:val="00D90838"/>
    <w:rsid w:val="00D9168E"/>
    <w:rsid w:val="00D91732"/>
    <w:rsid w:val="00D918B2"/>
    <w:rsid w:val="00D92845"/>
    <w:rsid w:val="00D93C6C"/>
    <w:rsid w:val="00D95568"/>
    <w:rsid w:val="00D9655B"/>
    <w:rsid w:val="00D966E0"/>
    <w:rsid w:val="00D96C99"/>
    <w:rsid w:val="00D96D67"/>
    <w:rsid w:val="00D978D3"/>
    <w:rsid w:val="00D97A12"/>
    <w:rsid w:val="00DA0B4C"/>
    <w:rsid w:val="00DA2614"/>
    <w:rsid w:val="00DA3234"/>
    <w:rsid w:val="00DA346A"/>
    <w:rsid w:val="00DA4A66"/>
    <w:rsid w:val="00DA4A9D"/>
    <w:rsid w:val="00DA6556"/>
    <w:rsid w:val="00DA6FE4"/>
    <w:rsid w:val="00DA727F"/>
    <w:rsid w:val="00DA750A"/>
    <w:rsid w:val="00DA7752"/>
    <w:rsid w:val="00DA7CA2"/>
    <w:rsid w:val="00DB0403"/>
    <w:rsid w:val="00DB1362"/>
    <w:rsid w:val="00DB22B1"/>
    <w:rsid w:val="00DB28F3"/>
    <w:rsid w:val="00DB2AFF"/>
    <w:rsid w:val="00DB32A0"/>
    <w:rsid w:val="00DB3FF0"/>
    <w:rsid w:val="00DB3FFF"/>
    <w:rsid w:val="00DB4DBA"/>
    <w:rsid w:val="00DB4E7A"/>
    <w:rsid w:val="00DB50CE"/>
    <w:rsid w:val="00DB66FD"/>
    <w:rsid w:val="00DB7AB0"/>
    <w:rsid w:val="00DC0787"/>
    <w:rsid w:val="00DC33E8"/>
    <w:rsid w:val="00DC3BD4"/>
    <w:rsid w:val="00DC504A"/>
    <w:rsid w:val="00DC5383"/>
    <w:rsid w:val="00DC6EDD"/>
    <w:rsid w:val="00DC7937"/>
    <w:rsid w:val="00DD13AA"/>
    <w:rsid w:val="00DD258E"/>
    <w:rsid w:val="00DD2BDE"/>
    <w:rsid w:val="00DD2D47"/>
    <w:rsid w:val="00DD3041"/>
    <w:rsid w:val="00DD3419"/>
    <w:rsid w:val="00DD5211"/>
    <w:rsid w:val="00DD5D5B"/>
    <w:rsid w:val="00DD6DB2"/>
    <w:rsid w:val="00DD6DE2"/>
    <w:rsid w:val="00DD7D96"/>
    <w:rsid w:val="00DE1ABC"/>
    <w:rsid w:val="00DE1C50"/>
    <w:rsid w:val="00DE29D6"/>
    <w:rsid w:val="00DE2F6F"/>
    <w:rsid w:val="00DE3138"/>
    <w:rsid w:val="00DE3433"/>
    <w:rsid w:val="00DE35C6"/>
    <w:rsid w:val="00DE4F82"/>
    <w:rsid w:val="00DE53BC"/>
    <w:rsid w:val="00DE5906"/>
    <w:rsid w:val="00DE77E3"/>
    <w:rsid w:val="00DE783F"/>
    <w:rsid w:val="00DE7A08"/>
    <w:rsid w:val="00DE7F1B"/>
    <w:rsid w:val="00DF0230"/>
    <w:rsid w:val="00DF0A81"/>
    <w:rsid w:val="00DF1B82"/>
    <w:rsid w:val="00DF3365"/>
    <w:rsid w:val="00DF4246"/>
    <w:rsid w:val="00DF4ACD"/>
    <w:rsid w:val="00DF4E16"/>
    <w:rsid w:val="00DF4F20"/>
    <w:rsid w:val="00DF5631"/>
    <w:rsid w:val="00DF5B64"/>
    <w:rsid w:val="00DF5EDB"/>
    <w:rsid w:val="00DF6CBD"/>
    <w:rsid w:val="00DF6DB7"/>
    <w:rsid w:val="00DF7522"/>
    <w:rsid w:val="00DF7BAB"/>
    <w:rsid w:val="00E00E3B"/>
    <w:rsid w:val="00E01B6B"/>
    <w:rsid w:val="00E0368F"/>
    <w:rsid w:val="00E039F1"/>
    <w:rsid w:val="00E0631D"/>
    <w:rsid w:val="00E063C9"/>
    <w:rsid w:val="00E06897"/>
    <w:rsid w:val="00E079E5"/>
    <w:rsid w:val="00E07A12"/>
    <w:rsid w:val="00E10776"/>
    <w:rsid w:val="00E10E0E"/>
    <w:rsid w:val="00E111C5"/>
    <w:rsid w:val="00E113A3"/>
    <w:rsid w:val="00E11A3F"/>
    <w:rsid w:val="00E11E93"/>
    <w:rsid w:val="00E14372"/>
    <w:rsid w:val="00E15ABC"/>
    <w:rsid w:val="00E1628A"/>
    <w:rsid w:val="00E1690D"/>
    <w:rsid w:val="00E16971"/>
    <w:rsid w:val="00E16FC7"/>
    <w:rsid w:val="00E177EE"/>
    <w:rsid w:val="00E17E2B"/>
    <w:rsid w:val="00E2050C"/>
    <w:rsid w:val="00E21142"/>
    <w:rsid w:val="00E2206A"/>
    <w:rsid w:val="00E220C8"/>
    <w:rsid w:val="00E22281"/>
    <w:rsid w:val="00E230AF"/>
    <w:rsid w:val="00E236F9"/>
    <w:rsid w:val="00E243CA"/>
    <w:rsid w:val="00E24AEC"/>
    <w:rsid w:val="00E24FC7"/>
    <w:rsid w:val="00E2598B"/>
    <w:rsid w:val="00E2675F"/>
    <w:rsid w:val="00E30042"/>
    <w:rsid w:val="00E30F6F"/>
    <w:rsid w:val="00E316A2"/>
    <w:rsid w:val="00E31FB6"/>
    <w:rsid w:val="00E32074"/>
    <w:rsid w:val="00E326FA"/>
    <w:rsid w:val="00E32C2B"/>
    <w:rsid w:val="00E33866"/>
    <w:rsid w:val="00E34744"/>
    <w:rsid w:val="00E34A97"/>
    <w:rsid w:val="00E3550D"/>
    <w:rsid w:val="00E35796"/>
    <w:rsid w:val="00E35BB9"/>
    <w:rsid w:val="00E35CC3"/>
    <w:rsid w:val="00E36709"/>
    <w:rsid w:val="00E36CDD"/>
    <w:rsid w:val="00E37874"/>
    <w:rsid w:val="00E378A3"/>
    <w:rsid w:val="00E404DE"/>
    <w:rsid w:val="00E433E4"/>
    <w:rsid w:val="00E44AAF"/>
    <w:rsid w:val="00E45366"/>
    <w:rsid w:val="00E453B1"/>
    <w:rsid w:val="00E455A1"/>
    <w:rsid w:val="00E47EFD"/>
    <w:rsid w:val="00E50CB2"/>
    <w:rsid w:val="00E50E75"/>
    <w:rsid w:val="00E5228B"/>
    <w:rsid w:val="00E529CC"/>
    <w:rsid w:val="00E54518"/>
    <w:rsid w:val="00E5462C"/>
    <w:rsid w:val="00E54849"/>
    <w:rsid w:val="00E56DC6"/>
    <w:rsid w:val="00E6026D"/>
    <w:rsid w:val="00E6051F"/>
    <w:rsid w:val="00E612AD"/>
    <w:rsid w:val="00E613C5"/>
    <w:rsid w:val="00E6168F"/>
    <w:rsid w:val="00E6190F"/>
    <w:rsid w:val="00E6205B"/>
    <w:rsid w:val="00E62704"/>
    <w:rsid w:val="00E6318A"/>
    <w:rsid w:val="00E636D0"/>
    <w:rsid w:val="00E63DDD"/>
    <w:rsid w:val="00E64B3C"/>
    <w:rsid w:val="00E6592C"/>
    <w:rsid w:val="00E6638D"/>
    <w:rsid w:val="00E66767"/>
    <w:rsid w:val="00E669F6"/>
    <w:rsid w:val="00E66B1E"/>
    <w:rsid w:val="00E67021"/>
    <w:rsid w:val="00E67370"/>
    <w:rsid w:val="00E6790F"/>
    <w:rsid w:val="00E67D6F"/>
    <w:rsid w:val="00E70842"/>
    <w:rsid w:val="00E73209"/>
    <w:rsid w:val="00E7423A"/>
    <w:rsid w:val="00E744DD"/>
    <w:rsid w:val="00E7496E"/>
    <w:rsid w:val="00E749E2"/>
    <w:rsid w:val="00E7518C"/>
    <w:rsid w:val="00E753BC"/>
    <w:rsid w:val="00E75738"/>
    <w:rsid w:val="00E75915"/>
    <w:rsid w:val="00E76177"/>
    <w:rsid w:val="00E777D4"/>
    <w:rsid w:val="00E7781C"/>
    <w:rsid w:val="00E77BD2"/>
    <w:rsid w:val="00E77E4A"/>
    <w:rsid w:val="00E800FA"/>
    <w:rsid w:val="00E80945"/>
    <w:rsid w:val="00E80A55"/>
    <w:rsid w:val="00E80E97"/>
    <w:rsid w:val="00E832B0"/>
    <w:rsid w:val="00E834F9"/>
    <w:rsid w:val="00E83B79"/>
    <w:rsid w:val="00E83BCC"/>
    <w:rsid w:val="00E843EA"/>
    <w:rsid w:val="00E84BC6"/>
    <w:rsid w:val="00E84D2D"/>
    <w:rsid w:val="00E84D62"/>
    <w:rsid w:val="00E85968"/>
    <w:rsid w:val="00E85EFF"/>
    <w:rsid w:val="00E86A2C"/>
    <w:rsid w:val="00E86AE8"/>
    <w:rsid w:val="00E8759B"/>
    <w:rsid w:val="00E90BC6"/>
    <w:rsid w:val="00E922C4"/>
    <w:rsid w:val="00E94BD0"/>
    <w:rsid w:val="00E956A6"/>
    <w:rsid w:val="00E9582F"/>
    <w:rsid w:val="00E95A39"/>
    <w:rsid w:val="00E95B5D"/>
    <w:rsid w:val="00E9654A"/>
    <w:rsid w:val="00E9689F"/>
    <w:rsid w:val="00E96CD8"/>
    <w:rsid w:val="00E975AC"/>
    <w:rsid w:val="00E97708"/>
    <w:rsid w:val="00EA06E4"/>
    <w:rsid w:val="00EA13CE"/>
    <w:rsid w:val="00EA31C0"/>
    <w:rsid w:val="00EA31EE"/>
    <w:rsid w:val="00EA4361"/>
    <w:rsid w:val="00EA44D9"/>
    <w:rsid w:val="00EA4606"/>
    <w:rsid w:val="00EA4685"/>
    <w:rsid w:val="00EA516D"/>
    <w:rsid w:val="00EA54A6"/>
    <w:rsid w:val="00EA6F29"/>
    <w:rsid w:val="00EA7C34"/>
    <w:rsid w:val="00EB112E"/>
    <w:rsid w:val="00EB1C25"/>
    <w:rsid w:val="00EB233C"/>
    <w:rsid w:val="00EB3929"/>
    <w:rsid w:val="00EB3966"/>
    <w:rsid w:val="00EB4035"/>
    <w:rsid w:val="00EB4EC4"/>
    <w:rsid w:val="00EB5B59"/>
    <w:rsid w:val="00EB6C8B"/>
    <w:rsid w:val="00EB6F4F"/>
    <w:rsid w:val="00EB6FD6"/>
    <w:rsid w:val="00EC14B9"/>
    <w:rsid w:val="00EC181D"/>
    <w:rsid w:val="00EC20E8"/>
    <w:rsid w:val="00EC244E"/>
    <w:rsid w:val="00EC2483"/>
    <w:rsid w:val="00EC2DB8"/>
    <w:rsid w:val="00EC2E96"/>
    <w:rsid w:val="00EC353E"/>
    <w:rsid w:val="00EC3548"/>
    <w:rsid w:val="00EC43BA"/>
    <w:rsid w:val="00EC5C46"/>
    <w:rsid w:val="00EC768D"/>
    <w:rsid w:val="00EC7D39"/>
    <w:rsid w:val="00EC7DD5"/>
    <w:rsid w:val="00ED039E"/>
    <w:rsid w:val="00ED047F"/>
    <w:rsid w:val="00ED0630"/>
    <w:rsid w:val="00ED102B"/>
    <w:rsid w:val="00ED24F1"/>
    <w:rsid w:val="00ED269F"/>
    <w:rsid w:val="00ED2CE0"/>
    <w:rsid w:val="00ED2DD3"/>
    <w:rsid w:val="00ED3232"/>
    <w:rsid w:val="00ED3335"/>
    <w:rsid w:val="00ED356C"/>
    <w:rsid w:val="00ED3694"/>
    <w:rsid w:val="00ED4FA0"/>
    <w:rsid w:val="00ED4FC8"/>
    <w:rsid w:val="00ED57CC"/>
    <w:rsid w:val="00ED59EC"/>
    <w:rsid w:val="00ED6C7F"/>
    <w:rsid w:val="00ED7E03"/>
    <w:rsid w:val="00EE071A"/>
    <w:rsid w:val="00EE0F01"/>
    <w:rsid w:val="00EE2FD2"/>
    <w:rsid w:val="00EE3253"/>
    <w:rsid w:val="00EE35B6"/>
    <w:rsid w:val="00EE3742"/>
    <w:rsid w:val="00EE3977"/>
    <w:rsid w:val="00EE435A"/>
    <w:rsid w:val="00EE4E0B"/>
    <w:rsid w:val="00EE52D4"/>
    <w:rsid w:val="00EE565C"/>
    <w:rsid w:val="00EE5712"/>
    <w:rsid w:val="00EE5F80"/>
    <w:rsid w:val="00EE603F"/>
    <w:rsid w:val="00EE6137"/>
    <w:rsid w:val="00EE667A"/>
    <w:rsid w:val="00EE6A58"/>
    <w:rsid w:val="00EE7BB6"/>
    <w:rsid w:val="00EF09FB"/>
    <w:rsid w:val="00EF15BE"/>
    <w:rsid w:val="00EF15E6"/>
    <w:rsid w:val="00EF16EB"/>
    <w:rsid w:val="00EF1FE0"/>
    <w:rsid w:val="00EF2D86"/>
    <w:rsid w:val="00EF2DD0"/>
    <w:rsid w:val="00EF307F"/>
    <w:rsid w:val="00EF32DB"/>
    <w:rsid w:val="00EF41D2"/>
    <w:rsid w:val="00EF4AC3"/>
    <w:rsid w:val="00EF5A36"/>
    <w:rsid w:val="00EF6103"/>
    <w:rsid w:val="00EF6F6C"/>
    <w:rsid w:val="00EF741C"/>
    <w:rsid w:val="00EF78EB"/>
    <w:rsid w:val="00EF7A9E"/>
    <w:rsid w:val="00F01B68"/>
    <w:rsid w:val="00F01D58"/>
    <w:rsid w:val="00F0267A"/>
    <w:rsid w:val="00F04DAD"/>
    <w:rsid w:val="00F04F01"/>
    <w:rsid w:val="00F050B0"/>
    <w:rsid w:val="00F05337"/>
    <w:rsid w:val="00F0545D"/>
    <w:rsid w:val="00F054F4"/>
    <w:rsid w:val="00F05DFB"/>
    <w:rsid w:val="00F05E59"/>
    <w:rsid w:val="00F062F2"/>
    <w:rsid w:val="00F06A12"/>
    <w:rsid w:val="00F10B93"/>
    <w:rsid w:val="00F10DFC"/>
    <w:rsid w:val="00F11761"/>
    <w:rsid w:val="00F11C1E"/>
    <w:rsid w:val="00F12C00"/>
    <w:rsid w:val="00F15223"/>
    <w:rsid w:val="00F15675"/>
    <w:rsid w:val="00F15BA2"/>
    <w:rsid w:val="00F160F1"/>
    <w:rsid w:val="00F1632F"/>
    <w:rsid w:val="00F166E8"/>
    <w:rsid w:val="00F16843"/>
    <w:rsid w:val="00F16E17"/>
    <w:rsid w:val="00F16ECF"/>
    <w:rsid w:val="00F17218"/>
    <w:rsid w:val="00F17393"/>
    <w:rsid w:val="00F1756B"/>
    <w:rsid w:val="00F17828"/>
    <w:rsid w:val="00F17FCA"/>
    <w:rsid w:val="00F208D5"/>
    <w:rsid w:val="00F20FB6"/>
    <w:rsid w:val="00F2275D"/>
    <w:rsid w:val="00F22933"/>
    <w:rsid w:val="00F23394"/>
    <w:rsid w:val="00F235E1"/>
    <w:rsid w:val="00F24441"/>
    <w:rsid w:val="00F252DB"/>
    <w:rsid w:val="00F255AA"/>
    <w:rsid w:val="00F269A6"/>
    <w:rsid w:val="00F26C52"/>
    <w:rsid w:val="00F26D9C"/>
    <w:rsid w:val="00F2716A"/>
    <w:rsid w:val="00F3021D"/>
    <w:rsid w:val="00F30435"/>
    <w:rsid w:val="00F31AD4"/>
    <w:rsid w:val="00F329FA"/>
    <w:rsid w:val="00F3347D"/>
    <w:rsid w:val="00F339F7"/>
    <w:rsid w:val="00F33C73"/>
    <w:rsid w:val="00F342CA"/>
    <w:rsid w:val="00F34D9B"/>
    <w:rsid w:val="00F350D8"/>
    <w:rsid w:val="00F3540F"/>
    <w:rsid w:val="00F3621F"/>
    <w:rsid w:val="00F3622F"/>
    <w:rsid w:val="00F365EF"/>
    <w:rsid w:val="00F368E7"/>
    <w:rsid w:val="00F369A1"/>
    <w:rsid w:val="00F404AD"/>
    <w:rsid w:val="00F4109B"/>
    <w:rsid w:val="00F41B72"/>
    <w:rsid w:val="00F41B97"/>
    <w:rsid w:val="00F41D0C"/>
    <w:rsid w:val="00F434A3"/>
    <w:rsid w:val="00F43B45"/>
    <w:rsid w:val="00F44506"/>
    <w:rsid w:val="00F456F3"/>
    <w:rsid w:val="00F456FA"/>
    <w:rsid w:val="00F46B20"/>
    <w:rsid w:val="00F46B89"/>
    <w:rsid w:val="00F475AA"/>
    <w:rsid w:val="00F476BB"/>
    <w:rsid w:val="00F5028F"/>
    <w:rsid w:val="00F52B3E"/>
    <w:rsid w:val="00F53B63"/>
    <w:rsid w:val="00F54125"/>
    <w:rsid w:val="00F54CFB"/>
    <w:rsid w:val="00F569C5"/>
    <w:rsid w:val="00F56BEF"/>
    <w:rsid w:val="00F57119"/>
    <w:rsid w:val="00F5787E"/>
    <w:rsid w:val="00F57DE5"/>
    <w:rsid w:val="00F603B9"/>
    <w:rsid w:val="00F609ED"/>
    <w:rsid w:val="00F61C09"/>
    <w:rsid w:val="00F627BD"/>
    <w:rsid w:val="00F62E59"/>
    <w:rsid w:val="00F642A2"/>
    <w:rsid w:val="00F64F31"/>
    <w:rsid w:val="00F6542C"/>
    <w:rsid w:val="00F65448"/>
    <w:rsid w:val="00F660A8"/>
    <w:rsid w:val="00F66426"/>
    <w:rsid w:val="00F66603"/>
    <w:rsid w:val="00F667ED"/>
    <w:rsid w:val="00F66A88"/>
    <w:rsid w:val="00F66AF6"/>
    <w:rsid w:val="00F675D3"/>
    <w:rsid w:val="00F67715"/>
    <w:rsid w:val="00F67D7B"/>
    <w:rsid w:val="00F707C4"/>
    <w:rsid w:val="00F716C4"/>
    <w:rsid w:val="00F71C3B"/>
    <w:rsid w:val="00F723F8"/>
    <w:rsid w:val="00F72E0B"/>
    <w:rsid w:val="00F735E3"/>
    <w:rsid w:val="00F73A3C"/>
    <w:rsid w:val="00F74173"/>
    <w:rsid w:val="00F75103"/>
    <w:rsid w:val="00F75855"/>
    <w:rsid w:val="00F771F2"/>
    <w:rsid w:val="00F77A41"/>
    <w:rsid w:val="00F77C33"/>
    <w:rsid w:val="00F80116"/>
    <w:rsid w:val="00F807EF"/>
    <w:rsid w:val="00F82404"/>
    <w:rsid w:val="00F824C8"/>
    <w:rsid w:val="00F82C32"/>
    <w:rsid w:val="00F83070"/>
    <w:rsid w:val="00F83C82"/>
    <w:rsid w:val="00F842E6"/>
    <w:rsid w:val="00F844E5"/>
    <w:rsid w:val="00F849B3"/>
    <w:rsid w:val="00F85208"/>
    <w:rsid w:val="00F855EA"/>
    <w:rsid w:val="00F85CD9"/>
    <w:rsid w:val="00F86F5A"/>
    <w:rsid w:val="00F87EEC"/>
    <w:rsid w:val="00F87FCC"/>
    <w:rsid w:val="00F907D4"/>
    <w:rsid w:val="00F90B39"/>
    <w:rsid w:val="00F92835"/>
    <w:rsid w:val="00F92883"/>
    <w:rsid w:val="00F93340"/>
    <w:rsid w:val="00F9395D"/>
    <w:rsid w:val="00F9457B"/>
    <w:rsid w:val="00F94C0B"/>
    <w:rsid w:val="00F951F3"/>
    <w:rsid w:val="00F961C8"/>
    <w:rsid w:val="00F96702"/>
    <w:rsid w:val="00F96985"/>
    <w:rsid w:val="00F97035"/>
    <w:rsid w:val="00F974C6"/>
    <w:rsid w:val="00FA0855"/>
    <w:rsid w:val="00FA11C2"/>
    <w:rsid w:val="00FA29AB"/>
    <w:rsid w:val="00FA2C1A"/>
    <w:rsid w:val="00FA386C"/>
    <w:rsid w:val="00FA4BC5"/>
    <w:rsid w:val="00FA4FD7"/>
    <w:rsid w:val="00FA52D9"/>
    <w:rsid w:val="00FA5915"/>
    <w:rsid w:val="00FA5CFB"/>
    <w:rsid w:val="00FA628F"/>
    <w:rsid w:val="00FA7A11"/>
    <w:rsid w:val="00FB0170"/>
    <w:rsid w:val="00FB1B6C"/>
    <w:rsid w:val="00FB1DFB"/>
    <w:rsid w:val="00FB3A39"/>
    <w:rsid w:val="00FB3EF0"/>
    <w:rsid w:val="00FB4576"/>
    <w:rsid w:val="00FB4B00"/>
    <w:rsid w:val="00FB4E92"/>
    <w:rsid w:val="00FB4F5D"/>
    <w:rsid w:val="00FB5ED3"/>
    <w:rsid w:val="00FB7A30"/>
    <w:rsid w:val="00FB7DEE"/>
    <w:rsid w:val="00FB7FD9"/>
    <w:rsid w:val="00FC017D"/>
    <w:rsid w:val="00FC0707"/>
    <w:rsid w:val="00FC0C56"/>
    <w:rsid w:val="00FC135C"/>
    <w:rsid w:val="00FC1C59"/>
    <w:rsid w:val="00FC2409"/>
    <w:rsid w:val="00FC2C65"/>
    <w:rsid w:val="00FC384E"/>
    <w:rsid w:val="00FC3F37"/>
    <w:rsid w:val="00FC6944"/>
    <w:rsid w:val="00FC6F8E"/>
    <w:rsid w:val="00FD100E"/>
    <w:rsid w:val="00FD3A6E"/>
    <w:rsid w:val="00FD3ADD"/>
    <w:rsid w:val="00FD3C41"/>
    <w:rsid w:val="00FD47E2"/>
    <w:rsid w:val="00FD4ED3"/>
    <w:rsid w:val="00FD4F50"/>
    <w:rsid w:val="00FD50AA"/>
    <w:rsid w:val="00FD5100"/>
    <w:rsid w:val="00FD5271"/>
    <w:rsid w:val="00FD5CF3"/>
    <w:rsid w:val="00FD6CB9"/>
    <w:rsid w:val="00FD6FA9"/>
    <w:rsid w:val="00FD73AC"/>
    <w:rsid w:val="00FD779D"/>
    <w:rsid w:val="00FE0225"/>
    <w:rsid w:val="00FE05E1"/>
    <w:rsid w:val="00FE1BC4"/>
    <w:rsid w:val="00FE2408"/>
    <w:rsid w:val="00FE44ED"/>
    <w:rsid w:val="00FE4B5E"/>
    <w:rsid w:val="00FE4DF2"/>
    <w:rsid w:val="00FE5364"/>
    <w:rsid w:val="00FE777F"/>
    <w:rsid w:val="00FF0CBC"/>
    <w:rsid w:val="00FF0DC4"/>
    <w:rsid w:val="00FF0FCD"/>
    <w:rsid w:val="00FF1025"/>
    <w:rsid w:val="00FF238A"/>
    <w:rsid w:val="00FF2431"/>
    <w:rsid w:val="00FF2D9D"/>
    <w:rsid w:val="00FF3742"/>
    <w:rsid w:val="00FF3831"/>
    <w:rsid w:val="00FF418F"/>
    <w:rsid w:val="00FF46A3"/>
    <w:rsid w:val="00FF4DB0"/>
    <w:rsid w:val="00FF4DC6"/>
    <w:rsid w:val="00FF4FFA"/>
    <w:rsid w:val="00FF5B46"/>
    <w:rsid w:val="00FF60BF"/>
    <w:rsid w:val="00FF6D8A"/>
    <w:rsid w:val="00FF7AB9"/>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15:docId w15:val="{0B71C305-09F6-46EF-87CD-F0E00AA415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D6128"/>
    <w:pPr>
      <w:spacing w:after="0" w:line="240" w:lineRule="auto"/>
    </w:pPr>
    <w:rPr>
      <w:rFonts w:ascii="Arial" w:eastAsia="Times New Roman" w:hAnsi="Arial" w:cs="Arial"/>
      <w:sz w:val="20"/>
      <w:szCs w:val="20"/>
    </w:rPr>
  </w:style>
  <w:style w:type="paragraph" w:styleId="Heading1">
    <w:name w:val="heading 1"/>
    <w:basedOn w:val="Normal"/>
    <w:next w:val="Normal"/>
    <w:link w:val="Heading1Char"/>
    <w:qFormat/>
    <w:rsid w:val="00E9654A"/>
    <w:pPr>
      <w:keepNext/>
      <w:jc w:val="center"/>
      <w:outlineLvl w:val="0"/>
    </w:pPr>
    <w:rPr>
      <w:rFonts w:ascii="Times New Roman" w:hAnsi="Times New Roman" w:cs="Times New Roman"/>
      <w:b/>
      <w:sz w:val="24"/>
      <w:lang w:eastAsia="x-none"/>
    </w:rPr>
  </w:style>
  <w:style w:type="paragraph" w:styleId="Heading2">
    <w:name w:val="heading 2"/>
    <w:basedOn w:val="Normal"/>
    <w:next w:val="Normal"/>
    <w:link w:val="Heading2Char"/>
    <w:qFormat/>
    <w:rsid w:val="001D0A1B"/>
    <w:pPr>
      <w:keepNext/>
      <w:outlineLvl w:val="1"/>
    </w:pPr>
    <w:rPr>
      <w:rFonts w:ascii="Times New Roman" w:hAnsi="Times New Roman" w:cs="Times New Roman"/>
      <w:b/>
      <w:sz w:val="24"/>
    </w:rPr>
  </w:style>
  <w:style w:type="paragraph" w:styleId="Heading3">
    <w:name w:val="heading 3"/>
    <w:basedOn w:val="Normal"/>
    <w:next w:val="Normal"/>
    <w:link w:val="Heading3Char"/>
    <w:unhideWhenUsed/>
    <w:qFormat/>
    <w:rsid w:val="004D6128"/>
    <w:pPr>
      <w:keepNext/>
      <w:outlineLvl w:val="2"/>
    </w:pPr>
    <w:rPr>
      <w:b/>
      <w:bCs/>
    </w:rPr>
  </w:style>
  <w:style w:type="paragraph" w:styleId="Heading4">
    <w:name w:val="heading 4"/>
    <w:basedOn w:val="Normal"/>
    <w:next w:val="Normal"/>
    <w:link w:val="Heading4Char"/>
    <w:unhideWhenUsed/>
    <w:qFormat/>
    <w:rsid w:val="00B9545B"/>
    <w:pPr>
      <w:keepNext/>
      <w:keepLines/>
      <w:spacing w:before="200"/>
      <w:outlineLvl w:val="3"/>
    </w:pPr>
    <w:rPr>
      <w:rFonts w:asciiTheme="majorHAnsi" w:eastAsiaTheme="majorEastAsia" w:hAnsiTheme="majorHAnsi" w:cstheme="majorBidi"/>
      <w:b/>
      <w:bCs/>
      <w:i/>
      <w:iCs/>
      <w:color w:val="4F81BD" w:themeColor="accent1"/>
    </w:rPr>
  </w:style>
  <w:style w:type="paragraph" w:styleId="Heading6">
    <w:name w:val="heading 6"/>
    <w:basedOn w:val="Normal"/>
    <w:next w:val="Normal"/>
    <w:link w:val="Heading6Char"/>
    <w:qFormat/>
    <w:rsid w:val="00344FAC"/>
    <w:pPr>
      <w:keepNext/>
      <w:outlineLvl w:val="5"/>
    </w:pPr>
    <w:rPr>
      <w:rFonts w:cs="Times New Roman"/>
      <w:b/>
      <w:sz w:val="19"/>
    </w:rPr>
  </w:style>
  <w:style w:type="paragraph" w:styleId="Heading7">
    <w:name w:val="heading 7"/>
    <w:basedOn w:val="Normal"/>
    <w:next w:val="Normal"/>
    <w:link w:val="Heading7Char"/>
    <w:uiPriority w:val="9"/>
    <w:semiHidden/>
    <w:unhideWhenUsed/>
    <w:qFormat/>
    <w:rsid w:val="006F3445"/>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qFormat/>
    <w:rsid w:val="005E0549"/>
    <w:pPr>
      <w:keepNext/>
      <w:outlineLvl w:val="7"/>
    </w:pPr>
    <w:rPr>
      <w:b/>
      <w:bCs/>
      <w:szCs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4D6128"/>
    <w:rPr>
      <w:rFonts w:ascii="Arial" w:eastAsia="Times New Roman" w:hAnsi="Arial" w:cs="Arial"/>
      <w:b/>
      <w:bCs/>
      <w:sz w:val="20"/>
      <w:szCs w:val="20"/>
    </w:rPr>
  </w:style>
  <w:style w:type="table" w:styleId="TableGrid">
    <w:name w:val="Table Grid"/>
    <w:basedOn w:val="TableNormal"/>
    <w:uiPriority w:val="39"/>
    <w:rsid w:val="004D612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D6128"/>
    <w:pPr>
      <w:ind w:left="720"/>
      <w:contextualSpacing/>
    </w:pPr>
  </w:style>
  <w:style w:type="character" w:styleId="Hyperlink">
    <w:name w:val="Hyperlink"/>
    <w:basedOn w:val="DefaultParagraphFont"/>
    <w:unhideWhenUsed/>
    <w:rsid w:val="004D6128"/>
    <w:rPr>
      <w:color w:val="0000FF"/>
      <w:u w:val="single"/>
    </w:rPr>
  </w:style>
  <w:style w:type="paragraph" w:styleId="NormalWeb">
    <w:name w:val="Normal (Web)"/>
    <w:basedOn w:val="Normal"/>
    <w:uiPriority w:val="99"/>
    <w:unhideWhenUsed/>
    <w:rsid w:val="004D6128"/>
    <w:rPr>
      <w:rFonts w:ascii="Times New Roman" w:eastAsiaTheme="minorHAnsi" w:hAnsi="Times New Roman" w:cs="Times New Roman"/>
      <w:sz w:val="24"/>
      <w:szCs w:val="24"/>
      <w:lang w:eastAsia="en-GB"/>
    </w:rPr>
  </w:style>
  <w:style w:type="paragraph" w:customStyle="1" w:styleId="Level1">
    <w:name w:val="Level 1"/>
    <w:basedOn w:val="Normal"/>
    <w:uiPriority w:val="99"/>
    <w:semiHidden/>
    <w:rsid w:val="004D6128"/>
    <w:pPr>
      <w:numPr>
        <w:numId w:val="1"/>
      </w:numPr>
      <w:ind w:left="0" w:firstLine="0"/>
      <w:jc w:val="both"/>
    </w:pPr>
    <w:rPr>
      <w:rFonts w:ascii="Verdana" w:eastAsiaTheme="minorHAnsi" w:hAnsi="Verdana" w:cs="Times New Roman"/>
      <w:lang w:eastAsia="en-GB"/>
    </w:rPr>
  </w:style>
  <w:style w:type="paragraph" w:customStyle="1" w:styleId="Level2">
    <w:name w:val="Level 2"/>
    <w:basedOn w:val="Normal"/>
    <w:uiPriority w:val="99"/>
    <w:semiHidden/>
    <w:rsid w:val="004D6128"/>
    <w:pPr>
      <w:numPr>
        <w:ilvl w:val="1"/>
        <w:numId w:val="1"/>
      </w:numPr>
      <w:spacing w:after="240" w:line="312" w:lineRule="auto"/>
      <w:jc w:val="both"/>
    </w:pPr>
    <w:rPr>
      <w:rFonts w:ascii="Verdana" w:eastAsiaTheme="minorHAnsi" w:hAnsi="Verdana" w:cs="Times New Roman"/>
      <w:lang w:eastAsia="en-GB"/>
    </w:rPr>
  </w:style>
  <w:style w:type="paragraph" w:customStyle="1" w:styleId="Level3">
    <w:name w:val="Level 3"/>
    <w:basedOn w:val="Normal"/>
    <w:uiPriority w:val="99"/>
    <w:semiHidden/>
    <w:rsid w:val="004D6128"/>
    <w:pPr>
      <w:numPr>
        <w:ilvl w:val="2"/>
        <w:numId w:val="1"/>
      </w:numPr>
      <w:spacing w:after="240" w:line="312" w:lineRule="auto"/>
      <w:jc w:val="both"/>
    </w:pPr>
    <w:rPr>
      <w:rFonts w:ascii="Verdana" w:eastAsiaTheme="minorHAnsi" w:hAnsi="Verdana" w:cs="Times New Roman"/>
      <w:lang w:eastAsia="en-GB"/>
    </w:rPr>
  </w:style>
  <w:style w:type="paragraph" w:customStyle="1" w:styleId="Level4">
    <w:name w:val="Level 4"/>
    <w:basedOn w:val="Normal"/>
    <w:uiPriority w:val="99"/>
    <w:semiHidden/>
    <w:rsid w:val="004D6128"/>
    <w:pPr>
      <w:numPr>
        <w:ilvl w:val="3"/>
        <w:numId w:val="1"/>
      </w:numPr>
      <w:ind w:left="0" w:firstLine="0"/>
      <w:jc w:val="both"/>
    </w:pPr>
    <w:rPr>
      <w:rFonts w:ascii="Verdana" w:eastAsiaTheme="minorHAnsi" w:hAnsi="Verdana" w:cs="Times New Roman"/>
      <w:lang w:eastAsia="en-GB"/>
    </w:rPr>
  </w:style>
  <w:style w:type="paragraph" w:customStyle="1" w:styleId="Level5">
    <w:name w:val="Level 5"/>
    <w:basedOn w:val="Normal"/>
    <w:uiPriority w:val="99"/>
    <w:semiHidden/>
    <w:rsid w:val="004D6128"/>
    <w:pPr>
      <w:numPr>
        <w:ilvl w:val="4"/>
        <w:numId w:val="1"/>
      </w:numPr>
      <w:spacing w:after="240" w:line="312" w:lineRule="auto"/>
      <w:jc w:val="both"/>
    </w:pPr>
    <w:rPr>
      <w:rFonts w:ascii="Verdana" w:eastAsiaTheme="minorHAnsi" w:hAnsi="Verdana" w:cs="Times New Roman"/>
      <w:lang w:eastAsia="en-GB"/>
    </w:rPr>
  </w:style>
  <w:style w:type="paragraph" w:styleId="BalloonText">
    <w:name w:val="Balloon Text"/>
    <w:basedOn w:val="Normal"/>
    <w:link w:val="BalloonTextChar"/>
    <w:uiPriority w:val="99"/>
    <w:semiHidden/>
    <w:unhideWhenUsed/>
    <w:rsid w:val="004D6128"/>
    <w:rPr>
      <w:rFonts w:ascii="Tahoma" w:hAnsi="Tahoma" w:cs="Tahoma"/>
      <w:sz w:val="16"/>
      <w:szCs w:val="16"/>
    </w:rPr>
  </w:style>
  <w:style w:type="character" w:customStyle="1" w:styleId="BalloonTextChar">
    <w:name w:val="Balloon Text Char"/>
    <w:basedOn w:val="DefaultParagraphFont"/>
    <w:link w:val="BalloonText"/>
    <w:uiPriority w:val="99"/>
    <w:semiHidden/>
    <w:rsid w:val="004D6128"/>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834207"/>
    <w:rPr>
      <w:color w:val="800080" w:themeColor="followedHyperlink"/>
      <w:u w:val="single"/>
    </w:rPr>
  </w:style>
  <w:style w:type="character" w:styleId="Emphasis">
    <w:name w:val="Emphasis"/>
    <w:basedOn w:val="DefaultParagraphFont"/>
    <w:uiPriority w:val="20"/>
    <w:qFormat/>
    <w:rsid w:val="00130A1F"/>
    <w:rPr>
      <w:i/>
      <w:iCs/>
    </w:rPr>
  </w:style>
  <w:style w:type="paragraph" w:styleId="Header">
    <w:name w:val="header"/>
    <w:basedOn w:val="Normal"/>
    <w:link w:val="HeaderChar"/>
    <w:uiPriority w:val="99"/>
    <w:unhideWhenUsed/>
    <w:rsid w:val="00FF3742"/>
    <w:pPr>
      <w:tabs>
        <w:tab w:val="center" w:pos="4513"/>
        <w:tab w:val="right" w:pos="9026"/>
      </w:tabs>
    </w:pPr>
  </w:style>
  <w:style w:type="character" w:customStyle="1" w:styleId="HeaderChar">
    <w:name w:val="Header Char"/>
    <w:basedOn w:val="DefaultParagraphFont"/>
    <w:link w:val="Header"/>
    <w:uiPriority w:val="99"/>
    <w:rsid w:val="00FF3742"/>
    <w:rPr>
      <w:rFonts w:ascii="Arial" w:eastAsia="Times New Roman" w:hAnsi="Arial" w:cs="Arial"/>
      <w:sz w:val="20"/>
      <w:szCs w:val="20"/>
    </w:rPr>
  </w:style>
  <w:style w:type="paragraph" w:styleId="Footer">
    <w:name w:val="footer"/>
    <w:basedOn w:val="Normal"/>
    <w:link w:val="FooterChar"/>
    <w:uiPriority w:val="99"/>
    <w:unhideWhenUsed/>
    <w:rsid w:val="00FF3742"/>
    <w:pPr>
      <w:tabs>
        <w:tab w:val="center" w:pos="4513"/>
        <w:tab w:val="right" w:pos="9026"/>
      </w:tabs>
    </w:pPr>
  </w:style>
  <w:style w:type="character" w:customStyle="1" w:styleId="FooterChar">
    <w:name w:val="Footer Char"/>
    <w:basedOn w:val="DefaultParagraphFont"/>
    <w:link w:val="Footer"/>
    <w:uiPriority w:val="99"/>
    <w:rsid w:val="00FF3742"/>
    <w:rPr>
      <w:rFonts w:ascii="Arial" w:eastAsia="Times New Roman" w:hAnsi="Arial" w:cs="Arial"/>
      <w:sz w:val="20"/>
      <w:szCs w:val="20"/>
    </w:rPr>
  </w:style>
  <w:style w:type="character" w:customStyle="1" w:styleId="tgc">
    <w:name w:val="_tgc"/>
    <w:basedOn w:val="DefaultParagraphFont"/>
    <w:rsid w:val="00FD3C41"/>
  </w:style>
  <w:style w:type="paragraph" w:customStyle="1" w:styleId="Bulletsspaced">
    <w:name w:val="Bullets (spaced)"/>
    <w:basedOn w:val="Normal"/>
    <w:link w:val="BulletsspacedChar"/>
    <w:autoRedefine/>
    <w:rsid w:val="009D5447"/>
    <w:pPr>
      <w:numPr>
        <w:ilvl w:val="1"/>
        <w:numId w:val="2"/>
      </w:numPr>
      <w:tabs>
        <w:tab w:val="left" w:pos="993"/>
      </w:tabs>
      <w:spacing w:before="120"/>
      <w:ind w:left="993" w:hanging="426"/>
    </w:pPr>
    <w:rPr>
      <w:rFonts w:ascii="Tahoma" w:hAnsi="Tahoma" w:cs="Times New Roman"/>
      <w:color w:val="000000"/>
      <w:sz w:val="24"/>
      <w:szCs w:val="24"/>
    </w:rPr>
  </w:style>
  <w:style w:type="character" w:customStyle="1" w:styleId="BulletsspacedChar">
    <w:name w:val="Bullets (spaced) Char"/>
    <w:link w:val="Bulletsspaced"/>
    <w:rsid w:val="009D5447"/>
    <w:rPr>
      <w:rFonts w:ascii="Tahoma" w:eastAsia="Times New Roman" w:hAnsi="Tahoma" w:cs="Times New Roman"/>
      <w:color w:val="000000"/>
      <w:sz w:val="24"/>
      <w:szCs w:val="24"/>
    </w:rPr>
  </w:style>
  <w:style w:type="paragraph" w:styleId="Title">
    <w:name w:val="Title"/>
    <w:basedOn w:val="Normal"/>
    <w:link w:val="TitleChar"/>
    <w:qFormat/>
    <w:rsid w:val="009B59F6"/>
    <w:pPr>
      <w:jc w:val="center"/>
    </w:pPr>
    <w:rPr>
      <w:rFonts w:cs="Times New Roman"/>
      <w:b/>
    </w:rPr>
  </w:style>
  <w:style w:type="character" w:customStyle="1" w:styleId="TitleChar">
    <w:name w:val="Title Char"/>
    <w:basedOn w:val="DefaultParagraphFont"/>
    <w:link w:val="Title"/>
    <w:rsid w:val="009B59F6"/>
    <w:rPr>
      <w:rFonts w:ascii="Arial" w:eastAsia="Times New Roman" w:hAnsi="Arial" w:cs="Times New Roman"/>
      <w:b/>
      <w:sz w:val="20"/>
      <w:szCs w:val="20"/>
    </w:rPr>
  </w:style>
  <w:style w:type="character" w:customStyle="1" w:styleId="Heading7Char">
    <w:name w:val="Heading 7 Char"/>
    <w:basedOn w:val="DefaultParagraphFont"/>
    <w:link w:val="Heading7"/>
    <w:uiPriority w:val="9"/>
    <w:semiHidden/>
    <w:rsid w:val="006F3445"/>
    <w:rPr>
      <w:rFonts w:asciiTheme="majorHAnsi" w:eastAsiaTheme="majorEastAsia" w:hAnsiTheme="majorHAnsi" w:cstheme="majorBidi"/>
      <w:i/>
      <w:iCs/>
      <w:color w:val="404040" w:themeColor="text1" w:themeTint="BF"/>
      <w:sz w:val="20"/>
      <w:szCs w:val="20"/>
    </w:rPr>
  </w:style>
  <w:style w:type="paragraph" w:styleId="BodyText">
    <w:name w:val="Body Text"/>
    <w:basedOn w:val="Normal"/>
    <w:link w:val="BodyTextChar"/>
    <w:uiPriority w:val="1"/>
    <w:qFormat/>
    <w:rsid w:val="00221D33"/>
    <w:pPr>
      <w:widowControl w:val="0"/>
      <w:autoSpaceDE w:val="0"/>
      <w:autoSpaceDN w:val="0"/>
      <w:adjustRightInd w:val="0"/>
      <w:ind w:left="462" w:hanging="360"/>
    </w:pPr>
    <w:rPr>
      <w:rFonts w:eastAsiaTheme="minorEastAsia"/>
      <w:sz w:val="24"/>
      <w:szCs w:val="24"/>
      <w:lang w:eastAsia="en-GB"/>
    </w:rPr>
  </w:style>
  <w:style w:type="character" w:customStyle="1" w:styleId="BodyTextChar">
    <w:name w:val="Body Text Char"/>
    <w:basedOn w:val="DefaultParagraphFont"/>
    <w:link w:val="BodyText"/>
    <w:uiPriority w:val="1"/>
    <w:rsid w:val="00221D33"/>
    <w:rPr>
      <w:rFonts w:ascii="Arial" w:eastAsiaTheme="minorEastAsia" w:hAnsi="Arial" w:cs="Arial"/>
      <w:sz w:val="24"/>
      <w:szCs w:val="24"/>
      <w:lang w:eastAsia="en-GB"/>
    </w:rPr>
  </w:style>
  <w:style w:type="paragraph" w:styleId="NoSpacing">
    <w:name w:val="No Spacing"/>
    <w:uiPriority w:val="1"/>
    <w:qFormat/>
    <w:rsid w:val="00221D33"/>
    <w:pPr>
      <w:spacing w:after="0" w:line="240" w:lineRule="auto"/>
    </w:pPr>
    <w:rPr>
      <w:rFonts w:ascii="Arial" w:eastAsia="Times New Roman" w:hAnsi="Arial" w:cs="Arial"/>
      <w:sz w:val="20"/>
      <w:szCs w:val="20"/>
    </w:rPr>
  </w:style>
  <w:style w:type="paragraph" w:customStyle="1" w:styleId="TableParagraph">
    <w:name w:val="Table Paragraph"/>
    <w:basedOn w:val="Normal"/>
    <w:uiPriority w:val="1"/>
    <w:qFormat/>
    <w:rsid w:val="00B660BC"/>
    <w:pPr>
      <w:widowControl w:val="0"/>
      <w:autoSpaceDE w:val="0"/>
      <w:autoSpaceDN w:val="0"/>
      <w:adjustRightInd w:val="0"/>
    </w:pPr>
    <w:rPr>
      <w:rFonts w:ascii="Times New Roman" w:eastAsiaTheme="minorEastAsia" w:hAnsi="Times New Roman" w:cs="Times New Roman"/>
      <w:sz w:val="24"/>
      <w:szCs w:val="24"/>
      <w:lang w:eastAsia="en-GB"/>
    </w:rPr>
  </w:style>
  <w:style w:type="character" w:customStyle="1" w:styleId="Heading4Char">
    <w:name w:val="Heading 4 Char"/>
    <w:basedOn w:val="DefaultParagraphFont"/>
    <w:link w:val="Heading4"/>
    <w:rsid w:val="00B9545B"/>
    <w:rPr>
      <w:rFonts w:asciiTheme="majorHAnsi" w:eastAsiaTheme="majorEastAsia" w:hAnsiTheme="majorHAnsi" w:cstheme="majorBidi"/>
      <w:b/>
      <w:bCs/>
      <w:i/>
      <w:iCs/>
      <w:color w:val="4F81BD" w:themeColor="accent1"/>
      <w:sz w:val="20"/>
      <w:szCs w:val="20"/>
    </w:rPr>
  </w:style>
  <w:style w:type="character" w:customStyle="1" w:styleId="Heading6Char">
    <w:name w:val="Heading 6 Char"/>
    <w:basedOn w:val="DefaultParagraphFont"/>
    <w:link w:val="Heading6"/>
    <w:rsid w:val="00344FAC"/>
    <w:rPr>
      <w:rFonts w:ascii="Arial" w:eastAsia="Times New Roman" w:hAnsi="Arial" w:cs="Times New Roman"/>
      <w:b/>
      <w:sz w:val="19"/>
      <w:szCs w:val="20"/>
    </w:rPr>
  </w:style>
  <w:style w:type="character" w:customStyle="1" w:styleId="Heading1Char">
    <w:name w:val="Heading 1 Char"/>
    <w:basedOn w:val="DefaultParagraphFont"/>
    <w:link w:val="Heading1"/>
    <w:rsid w:val="00E9654A"/>
    <w:rPr>
      <w:rFonts w:ascii="Times New Roman" w:eastAsia="Times New Roman" w:hAnsi="Times New Roman" w:cs="Times New Roman"/>
      <w:b/>
      <w:sz w:val="24"/>
      <w:szCs w:val="20"/>
      <w:lang w:eastAsia="x-none"/>
    </w:rPr>
  </w:style>
  <w:style w:type="character" w:customStyle="1" w:styleId="Heading6Char1">
    <w:name w:val="Heading 6 Char1"/>
    <w:rsid w:val="00747346"/>
    <w:rPr>
      <w:rFonts w:ascii="Arial" w:eastAsia="Times New Roman" w:hAnsi="Arial" w:cs="Arial"/>
      <w:b/>
      <w:sz w:val="20"/>
    </w:rPr>
  </w:style>
  <w:style w:type="character" w:customStyle="1" w:styleId="Heading8Char">
    <w:name w:val="Heading 8 Char"/>
    <w:basedOn w:val="DefaultParagraphFont"/>
    <w:link w:val="Heading8"/>
    <w:rsid w:val="005E0549"/>
    <w:rPr>
      <w:rFonts w:ascii="Arial" w:eastAsia="Times New Roman" w:hAnsi="Arial" w:cs="Arial"/>
      <w:b/>
      <w:bCs/>
      <w:sz w:val="20"/>
      <w:u w:val="single"/>
    </w:rPr>
  </w:style>
  <w:style w:type="paragraph" w:styleId="PlainText">
    <w:name w:val="Plain Text"/>
    <w:basedOn w:val="Normal"/>
    <w:link w:val="PlainTextChar"/>
    <w:uiPriority w:val="99"/>
    <w:unhideWhenUsed/>
    <w:rsid w:val="00A94F13"/>
    <w:rPr>
      <w:rFonts w:ascii="Calibri" w:eastAsia="Calibri" w:hAnsi="Calibri" w:cs="Consolas"/>
      <w:sz w:val="22"/>
      <w:szCs w:val="21"/>
    </w:rPr>
  </w:style>
  <w:style w:type="character" w:customStyle="1" w:styleId="PlainTextChar">
    <w:name w:val="Plain Text Char"/>
    <w:basedOn w:val="DefaultParagraphFont"/>
    <w:link w:val="PlainText"/>
    <w:uiPriority w:val="99"/>
    <w:rsid w:val="00A94F13"/>
    <w:rPr>
      <w:rFonts w:ascii="Calibri" w:eastAsia="Calibri" w:hAnsi="Calibri" w:cs="Consolas"/>
      <w:szCs w:val="21"/>
    </w:rPr>
  </w:style>
  <w:style w:type="paragraph" w:customStyle="1" w:styleId="Default">
    <w:name w:val="Default"/>
    <w:rsid w:val="00E54518"/>
    <w:pPr>
      <w:autoSpaceDE w:val="0"/>
      <w:autoSpaceDN w:val="0"/>
      <w:adjustRightInd w:val="0"/>
      <w:spacing w:after="0" w:line="240" w:lineRule="auto"/>
    </w:pPr>
    <w:rPr>
      <w:rFonts w:ascii="Arial" w:eastAsia="Times New Roman" w:hAnsi="Arial" w:cs="Arial"/>
      <w:color w:val="000000"/>
      <w:sz w:val="24"/>
      <w:szCs w:val="24"/>
      <w:lang w:val="en-US"/>
    </w:rPr>
  </w:style>
  <w:style w:type="character" w:styleId="Strong">
    <w:name w:val="Strong"/>
    <w:basedOn w:val="DefaultParagraphFont"/>
    <w:uiPriority w:val="22"/>
    <w:qFormat/>
    <w:rsid w:val="002D661A"/>
    <w:rPr>
      <w:b/>
      <w:bCs/>
    </w:rPr>
  </w:style>
  <w:style w:type="paragraph" w:customStyle="1" w:styleId="Bullets3">
    <w:name w:val="Bullets3"/>
    <w:basedOn w:val="Normal"/>
    <w:rsid w:val="00730CDC"/>
    <w:rPr>
      <w:rFonts w:eastAsia="SimSun" w:cs="Times New Roman"/>
      <w:sz w:val="24"/>
      <w:lang w:eastAsia="zh-CN"/>
    </w:rPr>
  </w:style>
  <w:style w:type="character" w:customStyle="1" w:styleId="Heading2Char">
    <w:name w:val="Heading 2 Char"/>
    <w:basedOn w:val="DefaultParagraphFont"/>
    <w:link w:val="Heading2"/>
    <w:rsid w:val="001D0A1B"/>
    <w:rPr>
      <w:rFonts w:ascii="Times New Roman" w:eastAsia="Times New Roman" w:hAnsi="Times New Roman" w:cs="Times New Roman"/>
      <w:b/>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73217541">
      <w:bodyDiv w:val="1"/>
      <w:marLeft w:val="0"/>
      <w:marRight w:val="0"/>
      <w:marTop w:val="0"/>
      <w:marBottom w:val="0"/>
      <w:divBdr>
        <w:top w:val="none" w:sz="0" w:space="0" w:color="auto"/>
        <w:left w:val="none" w:sz="0" w:space="0" w:color="auto"/>
        <w:bottom w:val="none" w:sz="0" w:space="0" w:color="auto"/>
        <w:right w:val="none" w:sz="0" w:space="0" w:color="auto"/>
      </w:divBdr>
    </w:div>
    <w:div w:id="1326740060">
      <w:bodyDiv w:val="1"/>
      <w:marLeft w:val="0"/>
      <w:marRight w:val="0"/>
      <w:marTop w:val="0"/>
      <w:marBottom w:val="0"/>
      <w:divBdr>
        <w:top w:val="none" w:sz="0" w:space="0" w:color="auto"/>
        <w:left w:val="none" w:sz="0" w:space="0" w:color="auto"/>
        <w:bottom w:val="none" w:sz="0" w:space="0" w:color="auto"/>
        <w:right w:val="none" w:sz="0" w:space="0" w:color="auto"/>
      </w:divBdr>
    </w:div>
    <w:div w:id="1616983276">
      <w:bodyDiv w:val="1"/>
      <w:marLeft w:val="0"/>
      <w:marRight w:val="0"/>
      <w:marTop w:val="0"/>
      <w:marBottom w:val="0"/>
      <w:divBdr>
        <w:top w:val="none" w:sz="0" w:space="0" w:color="auto"/>
        <w:left w:val="none" w:sz="0" w:space="0" w:color="auto"/>
        <w:bottom w:val="none" w:sz="0" w:space="0" w:color="auto"/>
        <w:right w:val="none" w:sz="0" w:space="0" w:color="auto"/>
      </w:divBdr>
    </w:div>
    <w:div w:id="1619414683">
      <w:bodyDiv w:val="1"/>
      <w:marLeft w:val="0"/>
      <w:marRight w:val="0"/>
      <w:marTop w:val="0"/>
      <w:marBottom w:val="0"/>
      <w:divBdr>
        <w:top w:val="none" w:sz="0" w:space="0" w:color="auto"/>
        <w:left w:val="none" w:sz="0" w:space="0" w:color="auto"/>
        <w:bottom w:val="none" w:sz="0" w:space="0" w:color="auto"/>
        <w:right w:val="none" w:sz="0" w:space="0" w:color="auto"/>
      </w:divBdr>
    </w:div>
    <w:div w:id="16226120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www.gov.uk/guidance/fe-governance/the-corporation" TargetMode="External"/><Relationship Id="rId4" Type="http://schemas.openxmlformats.org/officeDocument/2006/relationships/settings" Target="settings.xml"/><Relationship Id="rId9" Type="http://schemas.openxmlformats.org/officeDocument/2006/relationships/image" Target="cid:image001.png@01CFE6D3.7AA47580"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262D97-7ABF-4047-A719-238F463A9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10</Pages>
  <Words>4112</Words>
  <Characters>23442</Characters>
  <Application>Microsoft Office Word</Application>
  <DocSecurity>0</DocSecurity>
  <Lines>195</Lines>
  <Paragraphs>54</Paragraphs>
  <ScaleCrop>false</ScaleCrop>
  <HeadingPairs>
    <vt:vector size="2" baseType="variant">
      <vt:variant>
        <vt:lpstr>Title</vt:lpstr>
      </vt:variant>
      <vt:variant>
        <vt:i4>1</vt:i4>
      </vt:variant>
    </vt:vector>
  </HeadingPairs>
  <TitlesOfParts>
    <vt:vector size="1" baseType="lpstr">
      <vt:lpstr/>
    </vt:vector>
  </TitlesOfParts>
  <Company>Worcester College of Technology</Company>
  <LinksUpToDate>false</LinksUpToDate>
  <CharactersWithSpaces>27500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 Frost</dc:creator>
  <cp:lastModifiedBy>Sue Frost</cp:lastModifiedBy>
  <cp:revision>13</cp:revision>
  <cp:lastPrinted>2015-07-07T09:41:00Z</cp:lastPrinted>
  <dcterms:created xsi:type="dcterms:W3CDTF">2019-06-27T13:46:00Z</dcterms:created>
  <dcterms:modified xsi:type="dcterms:W3CDTF">2019-07-01T15:37:00Z</dcterms:modified>
</cp:coreProperties>
</file>